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附件1：</w:t>
      </w:r>
    </w:p>
    <w:p>
      <w:pPr>
        <w:rPr>
          <w:rFonts w:ascii="Times New Roman" w:hAnsi="Times New Roman" w:cs="Times New Roman"/>
          <w:b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城乡供水价格分类</w:t>
      </w:r>
      <w:r>
        <w:rPr>
          <w:rFonts w:hint="eastAsia" w:ascii="宋体" w:hAnsi="宋体" w:eastAsia="宋体" w:cs="Times New Roman"/>
          <w:b/>
          <w:sz w:val="44"/>
          <w:szCs w:val="44"/>
        </w:rPr>
        <w:t>执行范围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cs="Times New Roman"/>
          <w:b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1.</w:t>
      </w:r>
      <w:r>
        <w:rPr>
          <w:rFonts w:hint="eastAsia" w:ascii="Times New Roman" w:hAnsi="Times New Roman" w:cs="Times New Roman"/>
        </w:rPr>
        <w:t>居民生活用水价格的执行范围：城</w:t>
      </w:r>
      <w:r>
        <w:rPr>
          <w:rFonts w:hint="eastAsia" w:ascii="Times New Roman" w:hAnsi="Times New Roman" w:cs="Times New Roman"/>
          <w:lang w:val="en-US" w:eastAsia="zh-CN"/>
        </w:rPr>
        <w:t>镇</w:t>
      </w:r>
      <w:r>
        <w:rPr>
          <w:rFonts w:hint="eastAsia" w:ascii="Times New Roman" w:hAnsi="Times New Roman" w:cs="Times New Roman"/>
        </w:rPr>
        <w:t>居民住宅及其附属设施（指物业服务、门卫、消防、车库）等生活用水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eastAsia" w:ascii="Times New Roman" w:hAnsi="Times New Roman" w:cs="Times New Roman"/>
        </w:rPr>
        <w:t>学校、幼儿园教学和学生生活用水、养老机构和孤儿院及残疾人托养机构等社会福利场所生活用水、宗教场所生活用水、社区和村级组织工作用房及居民公益性服务设施用水、生产经营企业内可以单独计量的职工集体宿舍、食堂用水等，按照居民生活类用水价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hint="eastAsia" w:ascii="Times New Roman" w:hAnsi="Times New Roman" w:cs="Times New Roman"/>
        </w:rPr>
        <w:t>非居民生活用水价格的执行范围：工业、经营服务用水和行政事业单位用水、市政用水（环卫、绿化）、生态用水、消防用水等。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3.</w:t>
      </w:r>
      <w:r>
        <w:rPr>
          <w:rFonts w:hint="eastAsia" w:ascii="Times New Roman" w:hAnsi="Times New Roman" w:cs="Times New Roman"/>
        </w:rPr>
        <w:t>特种用水价格的执行范围：洗车、高尔夫球场、桑拿、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cs="Times New Roman"/>
          <w:b/>
        </w:rPr>
      </w:pPr>
      <w:r>
        <w:rPr>
          <w:rFonts w:hint="eastAsia" w:ascii="Times New Roman" w:hAnsi="Times New Roman" w:cs="Times New Roman"/>
        </w:rPr>
        <w:t>水疗、以自来水为原料的纯净水生产企业用水。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01C2"/>
    <w:rsid w:val="1C5201C2"/>
    <w:rsid w:val="42C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2024-01-23T01:22:00Z</dcterms:created>
  <dc:creator>金东海</dc:creator>
  <cp:lastModifiedBy>金东海</cp:lastModifiedBy>
  <dcterms:modified xsi:type="dcterms:W3CDTF">2024-01-23T01:23:59Z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4C688848D066437B8139E0B1267AD8F5</vt:lpwstr>
  </property>
</Properties>
</file>