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  <w:lang w:eastAsia="zh-CN"/>
        </w:rPr>
        <w:t>浦江县</w:t>
      </w:r>
      <w:r>
        <w:t>交通运输领域政务公开标准目录</w:t>
      </w:r>
    </w:p>
    <w:tbl>
      <w:tblPr>
        <w:tblStyle w:val="4"/>
        <w:tblW w:w="15255" w:type="dxa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"/>
        <w:gridCol w:w="657"/>
        <w:gridCol w:w="765"/>
        <w:gridCol w:w="765"/>
        <w:gridCol w:w="1641"/>
        <w:gridCol w:w="2239"/>
        <w:gridCol w:w="917"/>
        <w:gridCol w:w="523"/>
        <w:gridCol w:w="1793"/>
        <w:gridCol w:w="783"/>
        <w:gridCol w:w="505"/>
        <w:gridCol w:w="632"/>
        <w:gridCol w:w="598"/>
        <w:gridCol w:w="456"/>
        <w:gridCol w:w="446"/>
        <w:gridCol w:w="614"/>
        <w:gridCol w:w="513"/>
        <w:gridCol w:w="523"/>
        <w:gridCol w:w="6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78" w:type="dxa"/>
            <w:vMerge w:val="restart"/>
          </w:tcPr>
          <w:p>
            <w:pPr>
              <w:pStyle w:val="7"/>
              <w:rPr>
                <w:rFonts w:ascii="WenQuanYi Micro Hei"/>
                <w:sz w:val="12"/>
              </w:rPr>
            </w:pPr>
          </w:p>
          <w:p>
            <w:pPr>
              <w:pStyle w:val="7"/>
              <w:spacing w:before="4"/>
              <w:rPr>
                <w:rFonts w:ascii="WenQuanYi Micro Hei"/>
                <w:sz w:val="8"/>
              </w:rPr>
            </w:pPr>
          </w:p>
          <w:p>
            <w:pPr>
              <w:pStyle w:val="7"/>
              <w:spacing w:line="151" w:lineRule="auto"/>
              <w:ind w:left="74" w:right="54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sz w:val="13"/>
              </w:rPr>
              <w:t>序号</w:t>
            </w:r>
          </w:p>
        </w:tc>
        <w:tc>
          <w:tcPr>
            <w:tcW w:w="2187" w:type="dxa"/>
            <w:gridSpan w:val="3"/>
          </w:tcPr>
          <w:p>
            <w:pPr>
              <w:pStyle w:val="7"/>
              <w:spacing w:before="15"/>
              <w:rPr>
                <w:rFonts w:ascii="WenQuanYi Micro Hei"/>
                <w:sz w:val="9"/>
              </w:rPr>
            </w:pPr>
          </w:p>
          <w:p>
            <w:pPr>
              <w:pStyle w:val="7"/>
              <w:ind w:left="812" w:right="799"/>
              <w:jc w:val="center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sz w:val="13"/>
              </w:rPr>
              <w:t>公开事项</w:t>
            </w:r>
          </w:p>
        </w:tc>
        <w:tc>
          <w:tcPr>
            <w:tcW w:w="1641" w:type="dxa"/>
            <w:vMerge w:val="restart"/>
          </w:tcPr>
          <w:p>
            <w:pPr>
              <w:pStyle w:val="7"/>
              <w:rPr>
                <w:rFonts w:ascii="WenQuanYi Micro Hei"/>
                <w:sz w:val="12"/>
              </w:rPr>
            </w:pPr>
          </w:p>
          <w:p>
            <w:pPr>
              <w:pStyle w:val="7"/>
              <w:rPr>
                <w:rFonts w:ascii="WenQuanYi Micro Hei"/>
                <w:sz w:val="9"/>
              </w:rPr>
            </w:pPr>
          </w:p>
          <w:p>
            <w:pPr>
              <w:pStyle w:val="7"/>
              <w:ind w:left="282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sz w:val="13"/>
              </w:rPr>
              <w:t>公开内容（要素）</w:t>
            </w:r>
          </w:p>
        </w:tc>
        <w:tc>
          <w:tcPr>
            <w:tcW w:w="2239" w:type="dxa"/>
            <w:vMerge w:val="restart"/>
          </w:tcPr>
          <w:p>
            <w:pPr>
              <w:pStyle w:val="7"/>
              <w:rPr>
                <w:rFonts w:ascii="WenQuanYi Micro Hei"/>
                <w:sz w:val="12"/>
              </w:rPr>
            </w:pPr>
          </w:p>
          <w:p>
            <w:pPr>
              <w:pStyle w:val="7"/>
              <w:rPr>
                <w:rFonts w:ascii="WenQuanYi Micro Hei"/>
                <w:sz w:val="9"/>
              </w:rPr>
            </w:pPr>
          </w:p>
          <w:p>
            <w:pPr>
              <w:pStyle w:val="7"/>
              <w:ind w:left="841" w:right="823"/>
              <w:jc w:val="center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sz w:val="13"/>
              </w:rPr>
              <w:t>公开依据</w:t>
            </w:r>
          </w:p>
        </w:tc>
        <w:tc>
          <w:tcPr>
            <w:tcW w:w="917" w:type="dxa"/>
            <w:vMerge w:val="restart"/>
          </w:tcPr>
          <w:p>
            <w:pPr>
              <w:pStyle w:val="7"/>
              <w:rPr>
                <w:rFonts w:ascii="WenQuanYi Micro Hei"/>
                <w:sz w:val="12"/>
              </w:rPr>
            </w:pPr>
          </w:p>
          <w:p>
            <w:pPr>
              <w:pStyle w:val="7"/>
              <w:rPr>
                <w:rFonts w:ascii="WenQuanYi Micro Hei"/>
                <w:sz w:val="9"/>
              </w:rPr>
            </w:pPr>
          </w:p>
          <w:p>
            <w:pPr>
              <w:pStyle w:val="7"/>
              <w:ind w:left="192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sz w:val="13"/>
              </w:rPr>
              <w:t>公开时限</w:t>
            </w:r>
          </w:p>
        </w:tc>
        <w:tc>
          <w:tcPr>
            <w:tcW w:w="523" w:type="dxa"/>
            <w:vMerge w:val="restart"/>
          </w:tcPr>
          <w:p>
            <w:pPr>
              <w:pStyle w:val="7"/>
              <w:rPr>
                <w:rFonts w:ascii="WenQuanYi Micro Hei"/>
                <w:sz w:val="12"/>
              </w:rPr>
            </w:pPr>
          </w:p>
          <w:p>
            <w:pPr>
              <w:pStyle w:val="7"/>
              <w:spacing w:before="4"/>
              <w:rPr>
                <w:rFonts w:ascii="WenQuanYi Micro Hei"/>
                <w:sz w:val="8"/>
              </w:rPr>
            </w:pPr>
          </w:p>
          <w:p>
            <w:pPr>
              <w:pStyle w:val="7"/>
              <w:spacing w:line="151" w:lineRule="auto"/>
              <w:ind w:left="132" w:right="107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sz w:val="13"/>
              </w:rPr>
              <w:t>公开主体</w:t>
            </w:r>
          </w:p>
        </w:tc>
        <w:tc>
          <w:tcPr>
            <w:tcW w:w="1793" w:type="dxa"/>
            <w:vMerge w:val="restart"/>
          </w:tcPr>
          <w:p>
            <w:pPr>
              <w:pStyle w:val="7"/>
              <w:rPr>
                <w:rFonts w:ascii="WenQuanYi Micro Hei"/>
                <w:sz w:val="16"/>
              </w:rPr>
            </w:pPr>
          </w:p>
          <w:p>
            <w:pPr>
              <w:pStyle w:val="7"/>
              <w:spacing w:before="1" w:line="214" w:lineRule="exact"/>
              <w:ind w:left="427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sz w:val="13"/>
              </w:rPr>
              <w:t>公开渠道和载体</w:t>
            </w:r>
          </w:p>
          <w:p>
            <w:pPr>
              <w:pStyle w:val="7"/>
              <w:spacing w:line="214" w:lineRule="exact"/>
              <w:ind w:left="357"/>
              <w:rPr>
                <w:rFonts w:hint="eastAsia" w:ascii="Noto Sans CJK HK" w:hAnsi="Noto Sans CJK HK" w:eastAsia="Noto Sans CJK HK"/>
                <w:b/>
                <w:sz w:val="13"/>
              </w:rPr>
            </w:pPr>
            <w:r>
              <w:rPr>
                <w:rFonts w:hint="eastAsia" w:ascii="Noto Sans CJK HK" w:hAnsi="Noto Sans CJK HK" w:eastAsia="Noto Sans CJK HK"/>
                <w:b/>
                <w:sz w:val="13"/>
              </w:rPr>
              <w:t>（用“■”标注）</w:t>
            </w:r>
          </w:p>
        </w:tc>
        <w:tc>
          <w:tcPr>
            <w:tcW w:w="1288" w:type="dxa"/>
            <w:gridSpan w:val="2"/>
          </w:tcPr>
          <w:p>
            <w:pPr>
              <w:pStyle w:val="7"/>
              <w:spacing w:before="79" w:line="214" w:lineRule="exact"/>
              <w:ind w:left="100" w:right="86"/>
              <w:jc w:val="center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sz w:val="13"/>
              </w:rPr>
              <w:t>公开对象</w:t>
            </w:r>
          </w:p>
          <w:p>
            <w:pPr>
              <w:pStyle w:val="7"/>
              <w:spacing w:line="214" w:lineRule="exact"/>
              <w:ind w:left="106" w:right="86"/>
              <w:jc w:val="center"/>
              <w:rPr>
                <w:rFonts w:hint="eastAsia" w:ascii="Noto Sans CJK HK" w:hAnsi="Noto Sans CJK HK" w:eastAsia="Noto Sans CJK HK"/>
                <w:b/>
                <w:sz w:val="13"/>
              </w:rPr>
            </w:pPr>
            <w:r>
              <w:rPr>
                <w:rFonts w:hint="eastAsia" w:ascii="Noto Sans CJK HK" w:hAnsi="Noto Sans CJK HK" w:eastAsia="Noto Sans CJK HK"/>
                <w:b/>
                <w:sz w:val="13"/>
              </w:rPr>
              <w:t>（用“</w:t>
            </w:r>
            <w:r>
              <w:rPr>
                <w:rFonts w:hint="eastAsia" w:ascii="Noto Sans CJK HK" w:hAnsi="Noto Sans CJK HK" w:eastAsia="Noto Sans CJK HK"/>
                <w:sz w:val="13"/>
              </w:rPr>
              <w:t>√</w:t>
            </w:r>
            <w:r>
              <w:rPr>
                <w:rFonts w:hint="eastAsia" w:ascii="Noto Sans CJK HK" w:hAnsi="Noto Sans CJK HK" w:eastAsia="Noto Sans CJK HK"/>
                <w:b/>
                <w:sz w:val="13"/>
              </w:rPr>
              <w:t>”标注）</w:t>
            </w:r>
          </w:p>
        </w:tc>
        <w:tc>
          <w:tcPr>
            <w:tcW w:w="1230" w:type="dxa"/>
            <w:gridSpan w:val="2"/>
          </w:tcPr>
          <w:p>
            <w:pPr>
              <w:pStyle w:val="7"/>
              <w:spacing w:before="79" w:line="214" w:lineRule="exact"/>
              <w:ind w:left="67" w:right="57"/>
              <w:jc w:val="center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sz w:val="13"/>
              </w:rPr>
              <w:t>公开方式</w:t>
            </w:r>
          </w:p>
          <w:p>
            <w:pPr>
              <w:pStyle w:val="7"/>
              <w:spacing w:line="214" w:lineRule="exact"/>
              <w:ind w:left="77" w:right="57"/>
              <w:jc w:val="center"/>
              <w:rPr>
                <w:rFonts w:hint="eastAsia" w:ascii="Noto Sans CJK HK" w:hAnsi="Noto Sans CJK HK" w:eastAsia="Noto Sans CJK HK"/>
                <w:b/>
                <w:sz w:val="13"/>
              </w:rPr>
            </w:pPr>
            <w:r>
              <w:rPr>
                <w:rFonts w:hint="eastAsia" w:ascii="Noto Sans CJK HK" w:hAnsi="Noto Sans CJK HK" w:eastAsia="Noto Sans CJK HK"/>
                <w:b/>
                <w:sz w:val="13"/>
              </w:rPr>
              <w:t>（用“√”标注）</w:t>
            </w:r>
          </w:p>
        </w:tc>
        <w:tc>
          <w:tcPr>
            <w:tcW w:w="1516" w:type="dxa"/>
            <w:gridSpan w:val="3"/>
          </w:tcPr>
          <w:p>
            <w:pPr>
              <w:pStyle w:val="7"/>
              <w:spacing w:before="79" w:line="214" w:lineRule="exact"/>
              <w:ind w:left="213" w:right="202"/>
              <w:jc w:val="center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sz w:val="13"/>
              </w:rPr>
              <w:t>公开层级</w:t>
            </w:r>
          </w:p>
          <w:p>
            <w:pPr>
              <w:pStyle w:val="7"/>
              <w:spacing w:line="214" w:lineRule="exact"/>
              <w:ind w:left="219" w:right="202"/>
              <w:jc w:val="center"/>
              <w:rPr>
                <w:rFonts w:hint="eastAsia" w:ascii="Noto Sans CJK HK" w:hAnsi="Noto Sans CJK HK" w:eastAsia="Noto Sans CJK HK"/>
                <w:b/>
                <w:sz w:val="13"/>
              </w:rPr>
            </w:pPr>
            <w:r>
              <w:rPr>
                <w:rFonts w:hint="eastAsia" w:ascii="Noto Sans CJK HK" w:hAnsi="Noto Sans CJK HK" w:eastAsia="Noto Sans CJK HK"/>
                <w:b/>
                <w:sz w:val="13"/>
              </w:rPr>
              <w:t>（用“</w:t>
            </w:r>
            <w:r>
              <w:rPr>
                <w:rFonts w:hint="eastAsia" w:ascii="Noto Sans CJK HK" w:hAnsi="Noto Sans CJK HK" w:eastAsia="Noto Sans CJK HK"/>
                <w:sz w:val="13"/>
              </w:rPr>
              <w:t>√</w:t>
            </w:r>
            <w:r>
              <w:rPr>
                <w:rFonts w:hint="eastAsia" w:ascii="Noto Sans CJK HK" w:hAnsi="Noto Sans CJK HK" w:eastAsia="Noto Sans CJK HK"/>
                <w:b/>
                <w:sz w:val="13"/>
              </w:rPr>
              <w:t>”标注）</w:t>
            </w:r>
          </w:p>
        </w:tc>
        <w:tc>
          <w:tcPr>
            <w:tcW w:w="513" w:type="dxa"/>
            <w:vMerge w:val="restart"/>
          </w:tcPr>
          <w:p>
            <w:pPr>
              <w:pStyle w:val="7"/>
              <w:rPr>
                <w:rFonts w:ascii="WenQuanYi Micro Hei"/>
                <w:sz w:val="12"/>
              </w:rPr>
            </w:pPr>
          </w:p>
          <w:p>
            <w:pPr>
              <w:pStyle w:val="7"/>
              <w:spacing w:before="4"/>
              <w:rPr>
                <w:rFonts w:ascii="WenQuanYi Micro Hei"/>
                <w:sz w:val="8"/>
              </w:rPr>
            </w:pPr>
          </w:p>
          <w:p>
            <w:pPr>
              <w:pStyle w:val="7"/>
              <w:spacing w:line="151" w:lineRule="auto"/>
              <w:ind w:left="125" w:right="105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sz w:val="13"/>
              </w:rPr>
              <w:t>公开格式</w:t>
            </w:r>
          </w:p>
        </w:tc>
        <w:tc>
          <w:tcPr>
            <w:tcW w:w="523" w:type="dxa"/>
            <w:vMerge w:val="restart"/>
          </w:tcPr>
          <w:p>
            <w:pPr>
              <w:pStyle w:val="7"/>
              <w:rPr>
                <w:rFonts w:ascii="WenQuanYi Micro Hei"/>
                <w:sz w:val="12"/>
              </w:rPr>
            </w:pPr>
          </w:p>
          <w:p>
            <w:pPr>
              <w:pStyle w:val="7"/>
              <w:rPr>
                <w:rFonts w:ascii="WenQuanYi Micro Hei"/>
                <w:sz w:val="9"/>
              </w:rPr>
            </w:pPr>
          </w:p>
          <w:p>
            <w:pPr>
              <w:pStyle w:val="7"/>
              <w:ind w:left="63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sz w:val="13"/>
              </w:rPr>
              <w:t>五公开</w:t>
            </w:r>
          </w:p>
        </w:tc>
        <w:tc>
          <w:tcPr>
            <w:tcW w:w="607" w:type="dxa"/>
            <w:vMerge w:val="restart"/>
          </w:tcPr>
          <w:p>
            <w:pPr>
              <w:pStyle w:val="7"/>
              <w:rPr>
                <w:rFonts w:ascii="WenQuanYi Micro Hei"/>
                <w:sz w:val="12"/>
              </w:rPr>
            </w:pPr>
          </w:p>
          <w:p>
            <w:pPr>
              <w:pStyle w:val="7"/>
              <w:rPr>
                <w:rFonts w:ascii="WenQuanYi Micro Hei"/>
                <w:sz w:val="9"/>
              </w:rPr>
            </w:pPr>
          </w:p>
          <w:p>
            <w:pPr>
              <w:pStyle w:val="7"/>
              <w:ind w:left="174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sz w:val="13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</w:tcPr>
          <w:p>
            <w:pPr>
              <w:pStyle w:val="7"/>
              <w:spacing w:before="38"/>
              <w:ind w:left="60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sz w:val="13"/>
              </w:rPr>
              <w:t>一级事项</w:t>
            </w:r>
          </w:p>
        </w:tc>
        <w:tc>
          <w:tcPr>
            <w:tcW w:w="765" w:type="dxa"/>
          </w:tcPr>
          <w:p>
            <w:pPr>
              <w:pStyle w:val="7"/>
              <w:spacing w:before="38"/>
              <w:ind w:left="115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sz w:val="13"/>
              </w:rPr>
              <w:t>二级事项</w:t>
            </w:r>
          </w:p>
        </w:tc>
        <w:tc>
          <w:tcPr>
            <w:tcW w:w="765" w:type="dxa"/>
          </w:tcPr>
          <w:p>
            <w:pPr>
              <w:pStyle w:val="7"/>
              <w:spacing w:before="38"/>
              <w:ind w:left="116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sz w:val="13"/>
              </w:rPr>
              <w:t>三级事项</w:t>
            </w:r>
          </w:p>
        </w:tc>
        <w:tc>
          <w:tcPr>
            <w:tcW w:w="1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>
            <w:pPr>
              <w:pStyle w:val="7"/>
              <w:spacing w:before="38"/>
              <w:ind w:left="179" w:right="159"/>
              <w:jc w:val="center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sz w:val="13"/>
              </w:rPr>
              <w:t>全社会</w:t>
            </w:r>
          </w:p>
        </w:tc>
        <w:tc>
          <w:tcPr>
            <w:tcW w:w="505" w:type="dxa"/>
          </w:tcPr>
          <w:p>
            <w:pPr>
              <w:pStyle w:val="7"/>
              <w:spacing w:line="171" w:lineRule="exact"/>
              <w:ind w:left="121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sz w:val="13"/>
              </w:rPr>
              <w:t>特定</w:t>
            </w:r>
          </w:p>
          <w:p>
            <w:pPr>
              <w:pStyle w:val="7"/>
              <w:spacing w:line="161" w:lineRule="exact"/>
              <w:ind w:left="121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sz w:val="13"/>
              </w:rPr>
              <w:t>群体</w:t>
            </w:r>
          </w:p>
        </w:tc>
        <w:tc>
          <w:tcPr>
            <w:tcW w:w="632" w:type="dxa"/>
          </w:tcPr>
          <w:p>
            <w:pPr>
              <w:pStyle w:val="7"/>
              <w:spacing w:before="38"/>
              <w:ind w:right="163"/>
              <w:jc w:val="right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sz w:val="13"/>
              </w:rPr>
              <w:t>主动</w:t>
            </w:r>
          </w:p>
        </w:tc>
        <w:tc>
          <w:tcPr>
            <w:tcW w:w="598" w:type="dxa"/>
          </w:tcPr>
          <w:p>
            <w:pPr>
              <w:pStyle w:val="7"/>
              <w:spacing w:before="38"/>
              <w:ind w:left="98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sz w:val="13"/>
              </w:rPr>
              <w:t>依申请</w:t>
            </w:r>
          </w:p>
        </w:tc>
        <w:tc>
          <w:tcPr>
            <w:tcW w:w="456" w:type="dxa"/>
          </w:tcPr>
          <w:p>
            <w:pPr>
              <w:pStyle w:val="7"/>
              <w:spacing w:before="38"/>
              <w:ind w:left="78" w:right="62"/>
              <w:jc w:val="center"/>
              <w:rPr>
                <w:rFonts w:hint="eastAsia" w:ascii="Noto Sans CJK HK" w:eastAsia="Noto Sans CJK HK"/>
                <w:b/>
                <w:sz w:val="13"/>
                <w:lang w:eastAsia="zh-CN"/>
              </w:rPr>
            </w:pPr>
            <w:r>
              <w:rPr>
                <w:rFonts w:hint="eastAsia" w:ascii="Noto Sans CJK HK" w:eastAsia="Noto Sans CJK HK"/>
                <w:b/>
                <w:sz w:val="13"/>
                <w:lang w:eastAsia="zh-CN"/>
              </w:rPr>
              <w:t>县级</w:t>
            </w:r>
          </w:p>
        </w:tc>
        <w:tc>
          <w:tcPr>
            <w:tcW w:w="446" w:type="dxa"/>
          </w:tcPr>
          <w:p>
            <w:pPr>
              <w:pStyle w:val="7"/>
              <w:spacing w:before="38"/>
              <w:ind w:left="90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sz w:val="13"/>
              </w:rPr>
              <w:t>镇街</w:t>
            </w:r>
          </w:p>
        </w:tc>
        <w:tc>
          <w:tcPr>
            <w:tcW w:w="614" w:type="dxa"/>
          </w:tcPr>
          <w:p>
            <w:pPr>
              <w:pStyle w:val="7"/>
              <w:spacing w:line="179" w:lineRule="exact"/>
              <w:ind w:left="17"/>
              <w:jc w:val="center"/>
              <w:rPr>
                <w:rFonts w:hint="eastAsia" w:ascii="Noto Sans CJK HK" w:eastAsia="Noto Sans CJK HK"/>
                <w:b/>
                <w:sz w:val="13"/>
              </w:rPr>
            </w:pPr>
            <w:r>
              <w:rPr>
                <w:rFonts w:hint="eastAsia" w:ascii="Noto Sans CJK HK" w:eastAsia="Noto Sans CJK HK"/>
                <w:b/>
                <w:w w:val="101"/>
                <w:sz w:val="13"/>
              </w:rPr>
              <w:t>村</w:t>
            </w:r>
          </w:p>
          <w:p>
            <w:pPr>
              <w:pStyle w:val="7"/>
              <w:spacing w:line="153" w:lineRule="exact"/>
              <w:ind w:left="58" w:right="38"/>
              <w:jc w:val="center"/>
              <w:rPr>
                <w:rFonts w:hint="eastAsia" w:ascii="Noto Sans CJK HK" w:eastAsia="Noto Sans CJK HK"/>
                <w:b/>
                <w:sz w:val="10"/>
              </w:rPr>
            </w:pPr>
            <w:r>
              <w:rPr>
                <w:rFonts w:hint="eastAsia" w:ascii="Noto Sans CJK HK" w:eastAsia="Noto Sans CJK HK"/>
                <w:b/>
                <w:w w:val="105"/>
                <w:sz w:val="10"/>
              </w:rPr>
              <w:t>（</w:t>
            </w:r>
            <w:r>
              <w:rPr>
                <w:rFonts w:hint="eastAsia" w:ascii="Noto Sans CJK HK" w:eastAsia="Noto Sans CJK HK"/>
                <w:b/>
                <w:w w:val="105"/>
                <w:sz w:val="12"/>
              </w:rPr>
              <w:t>社区</w:t>
            </w:r>
            <w:r>
              <w:rPr>
                <w:rFonts w:hint="eastAsia" w:ascii="Noto Sans CJK HK" w:eastAsia="Noto Sans CJK HK"/>
                <w:b/>
                <w:w w:val="105"/>
                <w:sz w:val="10"/>
              </w:rPr>
              <w:t>）</w:t>
            </w:r>
          </w:p>
        </w:tc>
        <w:tc>
          <w:tcPr>
            <w:tcW w:w="5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278" w:type="dxa"/>
            <w:vMerge w:val="restart"/>
          </w:tcPr>
          <w:p/>
          <w:p/>
          <w:p/>
          <w:p/>
          <w:p/>
          <w:p/>
          <w:p/>
          <w:p/>
          <w:p/>
          <w:p/>
          <w:p/>
          <w:p/>
          <w:p/>
          <w:p>
            <w:r>
              <w:t>1</w:t>
            </w:r>
          </w:p>
        </w:tc>
        <w:tc>
          <w:tcPr>
            <w:tcW w:w="657" w:type="dxa"/>
            <w:vMerge w:val="restart"/>
          </w:tcPr>
          <w:p/>
          <w:p/>
          <w:p/>
          <w:p/>
          <w:p/>
          <w:p/>
          <w:p/>
          <w:p/>
          <w:p/>
          <w:p/>
          <w:p/>
          <w:p/>
          <w:p/>
          <w:p>
            <w:r>
              <w:t>公路水运工程基础设施</w:t>
            </w:r>
          </w:p>
        </w:tc>
        <w:tc>
          <w:tcPr>
            <w:tcW w:w="765" w:type="dxa"/>
          </w:tcPr>
          <w:p/>
          <w:p/>
          <w:p/>
          <w:p>
            <w:r>
              <w:t>建设计划</w:t>
            </w:r>
          </w:p>
        </w:tc>
        <w:tc>
          <w:tcPr>
            <w:tcW w:w="765" w:type="dxa"/>
          </w:tcPr>
          <w:p/>
        </w:tc>
        <w:tc>
          <w:tcPr>
            <w:tcW w:w="1641" w:type="dxa"/>
          </w:tcPr>
          <w:p/>
          <w:p/>
          <w:p>
            <w:r>
              <w:t>农村公路建设计划</w:t>
            </w:r>
          </w:p>
          <w:p/>
        </w:tc>
        <w:tc>
          <w:tcPr>
            <w:tcW w:w="2239" w:type="dxa"/>
          </w:tcPr>
          <w:p/>
          <w:p/>
          <w:p>
            <w:r>
              <w:rPr>
                <w:rFonts w:hint="eastAsia"/>
                <w:lang w:val="en-US" w:eastAsia="zh-CN"/>
              </w:rPr>
              <w:t>1.</w:t>
            </w:r>
            <w:r>
              <w:t>《交通运输领域基层政务公开标准指引》</w:t>
            </w:r>
          </w:p>
          <w:p>
            <w:r>
              <w:rPr>
                <w:rFonts w:hint="eastAsia"/>
                <w:lang w:val="en-US" w:eastAsia="zh-CN"/>
              </w:rPr>
              <w:t>2.</w:t>
            </w:r>
            <w:r>
              <w:t>《交通运输部关于推进农村公路建设“七公开”制度的意见》</w:t>
            </w:r>
          </w:p>
        </w:tc>
        <w:tc>
          <w:tcPr>
            <w:tcW w:w="917" w:type="dxa"/>
          </w:tcPr>
          <w:p/>
          <w:p/>
          <w:p>
            <w:r>
              <w:t>自该信息形成或者变更之日起20 个工作日内</w:t>
            </w:r>
          </w:p>
        </w:tc>
        <w:tc>
          <w:tcPr>
            <w:tcW w:w="523" w:type="dxa"/>
          </w:tcPr>
          <w:p/>
          <w:p/>
          <w:p/>
          <w:p>
            <w:r>
              <w:t>交通局</w:t>
            </w:r>
          </w:p>
        </w:tc>
        <w:tc>
          <w:tcPr>
            <w:tcW w:w="1793" w:type="dxa"/>
          </w:tcPr>
          <w:p>
            <w:r>
              <w:rPr>
                <w:rFonts w:hint="eastAsia" w:ascii="Noto Sans CJK HK" w:hAnsi="Noto Sans CJK HK" w:eastAsia="Noto Sans CJK HK"/>
                <w:b/>
                <w:sz w:val="21"/>
                <w:szCs w:val="21"/>
              </w:rPr>
              <w:t>■</w:t>
            </w:r>
            <w:r>
              <w:t>政府网站 □政府公报</w:t>
            </w:r>
          </w:p>
          <w:p>
            <w:r>
              <w:t>□两微一端 □发布会/听证会</w:t>
            </w:r>
          </w:p>
          <w:p>
            <w:r>
              <w:t>□广播电视 □纸质媒体</w:t>
            </w:r>
          </w:p>
          <w:p>
            <w:r>
              <w:t>□公开查阅点□政务服务中心</w:t>
            </w:r>
          </w:p>
          <w:p>
            <w:r>
              <w:t>□便民服务站□入户/现场</w:t>
            </w:r>
          </w:p>
          <w:p>
            <w:r>
              <w:t>□社区/企事业单位/村公示栏</w:t>
            </w:r>
          </w:p>
          <w:p>
            <w:r>
              <w:t>（电子屏）</w:t>
            </w:r>
          </w:p>
          <w:p>
            <w:r>
              <w:t>□精准推送 □其他</w:t>
            </w:r>
          </w:p>
        </w:tc>
        <w:tc>
          <w:tcPr>
            <w:tcW w:w="783" w:type="dxa"/>
          </w:tcPr>
          <w:p>
            <w:r>
              <w:t>√</w:t>
            </w:r>
          </w:p>
        </w:tc>
        <w:tc>
          <w:tcPr>
            <w:tcW w:w="505" w:type="dxa"/>
          </w:tcPr>
          <w:p/>
          <w:p/>
          <w:p/>
          <w:p/>
        </w:tc>
        <w:tc>
          <w:tcPr>
            <w:tcW w:w="632" w:type="dxa"/>
          </w:tcPr>
          <w:p/>
          <w:p/>
          <w:p/>
          <w:p>
            <w:r>
              <w:t>√</w:t>
            </w:r>
          </w:p>
        </w:tc>
        <w:tc>
          <w:tcPr>
            <w:tcW w:w="598" w:type="dxa"/>
          </w:tcPr>
          <w:p/>
        </w:tc>
        <w:tc>
          <w:tcPr>
            <w:tcW w:w="456" w:type="dxa"/>
          </w:tcPr>
          <w:p/>
          <w:p/>
          <w:p/>
          <w:p>
            <w:r>
              <w:t>√</w:t>
            </w:r>
          </w:p>
        </w:tc>
        <w:tc>
          <w:tcPr>
            <w:tcW w:w="446" w:type="dxa"/>
          </w:tcPr>
          <w:p/>
        </w:tc>
        <w:tc>
          <w:tcPr>
            <w:tcW w:w="614" w:type="dxa"/>
          </w:tcPr>
          <w:p/>
        </w:tc>
        <w:tc>
          <w:tcPr>
            <w:tcW w:w="513" w:type="dxa"/>
          </w:tcPr>
          <w:p/>
          <w:p>
            <w:r>
              <w:rPr>
                <w:rFonts w:hint="eastAsia" w:ascii="Noto Sans CJK HK" w:hAnsi="Noto Sans CJK HK" w:eastAsia="Noto Sans CJK HK"/>
                <w:b/>
                <w:sz w:val="21"/>
                <w:szCs w:val="21"/>
              </w:rPr>
              <w:t>■</w:t>
            </w:r>
            <w:r>
              <w:t>文本</w:t>
            </w:r>
          </w:p>
          <w:p>
            <w:r>
              <w:t>□图表</w:t>
            </w:r>
          </w:p>
          <w:p>
            <w:r>
              <w:t>□音频</w:t>
            </w:r>
          </w:p>
          <w:p>
            <w:r>
              <w:t>□视频</w:t>
            </w:r>
          </w:p>
        </w:tc>
        <w:tc>
          <w:tcPr>
            <w:tcW w:w="523" w:type="dxa"/>
          </w:tcPr>
          <w:p/>
          <w:p>
            <w:r>
              <w:t>□决策</w:t>
            </w:r>
          </w:p>
          <w:p>
            <w:r>
              <w:t>□执行</w:t>
            </w:r>
          </w:p>
          <w:p>
            <w:r>
              <w:t>□管理</w:t>
            </w:r>
          </w:p>
          <w:p>
            <w:r>
              <w:t>□服务</w:t>
            </w:r>
          </w:p>
          <w:p>
            <w:r>
              <w:rPr>
                <w:rFonts w:hint="eastAsia" w:ascii="Noto Sans CJK HK" w:hAnsi="Noto Sans CJK HK" w:eastAsia="Noto Sans CJK HK"/>
                <w:b/>
                <w:sz w:val="21"/>
                <w:szCs w:val="21"/>
              </w:rPr>
              <w:t>■</w:t>
            </w:r>
            <w:r>
              <w:t>结果</w:t>
            </w:r>
          </w:p>
        </w:tc>
        <w:tc>
          <w:tcPr>
            <w:tcW w:w="607" w:type="dxa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278" w:type="dxa"/>
            <w:vMerge w:val="continue"/>
            <w:tcBorders>
              <w:top w:val="nil"/>
            </w:tcBorders>
          </w:tcPr>
          <w:p>
            <w:bookmarkStart w:id="0" w:name="_GoBack"/>
            <w:bookmarkEnd w:id="0"/>
          </w:p>
        </w:tc>
        <w:tc>
          <w:tcPr>
            <w:tcW w:w="657" w:type="dxa"/>
            <w:vMerge w:val="continue"/>
            <w:tcBorders>
              <w:top w:val="nil"/>
            </w:tcBorders>
          </w:tcPr>
          <w:p/>
        </w:tc>
        <w:tc>
          <w:tcPr>
            <w:tcW w:w="765" w:type="dxa"/>
          </w:tcPr>
          <w:p/>
          <w:p/>
          <w:p>
            <w:r>
              <w:t>公路交通阻断信息</w:t>
            </w:r>
          </w:p>
        </w:tc>
        <w:tc>
          <w:tcPr>
            <w:tcW w:w="765" w:type="dxa"/>
          </w:tcPr>
          <w:p/>
        </w:tc>
        <w:tc>
          <w:tcPr>
            <w:tcW w:w="1641" w:type="dxa"/>
          </w:tcPr>
          <w:p/>
          <w:p/>
          <w:p>
            <w:r>
              <w:t>公路名称位置等基本信息；</w:t>
            </w:r>
          </w:p>
          <w:p>
            <w:r>
              <w:t>封道时间。</w:t>
            </w:r>
          </w:p>
        </w:tc>
        <w:tc>
          <w:tcPr>
            <w:tcW w:w="2239" w:type="dxa"/>
          </w:tcPr>
          <w:p/>
          <w:p/>
          <w:p>
            <w:r>
              <w:t>《中华人民共和国道路交通安全法》</w:t>
            </w:r>
          </w:p>
        </w:tc>
        <w:tc>
          <w:tcPr>
            <w:tcW w:w="917" w:type="dxa"/>
          </w:tcPr>
          <w:p/>
          <w:p/>
          <w:p>
            <w:r>
              <w:t>自该信息形成或者变更之日起20 个工作日内</w:t>
            </w:r>
          </w:p>
        </w:tc>
        <w:tc>
          <w:tcPr>
            <w:tcW w:w="523" w:type="dxa"/>
          </w:tcPr>
          <w:p/>
        </w:tc>
        <w:tc>
          <w:tcPr>
            <w:tcW w:w="1793" w:type="dxa"/>
          </w:tcPr>
          <w:p>
            <w:r>
              <w:t>■政府网站 □政府公报</w:t>
            </w:r>
          </w:p>
          <w:p>
            <w:r>
              <w:t>■两微一端 □发布会/听证会</w:t>
            </w:r>
          </w:p>
          <w:p>
            <w:r>
              <w:t>□广播电视 □纸质媒体</w:t>
            </w:r>
          </w:p>
          <w:p>
            <w:r>
              <w:t>□公开查阅点□政务服务中心</w:t>
            </w:r>
          </w:p>
          <w:p>
            <w:r>
              <w:t>□便民服务站□入户/现场</w:t>
            </w:r>
          </w:p>
          <w:p>
            <w:r>
              <w:t>□社区/企事业单位/村公示栏</w:t>
            </w:r>
          </w:p>
          <w:p>
            <w:r>
              <w:t>（电子屏）</w:t>
            </w:r>
          </w:p>
          <w:p>
            <w:r>
              <w:t>□精准推送 □其他</w:t>
            </w:r>
          </w:p>
        </w:tc>
        <w:tc>
          <w:tcPr>
            <w:tcW w:w="783" w:type="dxa"/>
          </w:tcPr>
          <w:p/>
          <w:p/>
          <w:p>
            <w:r>
              <w:t>√</w:t>
            </w:r>
          </w:p>
        </w:tc>
        <w:tc>
          <w:tcPr>
            <w:tcW w:w="505" w:type="dxa"/>
          </w:tcPr>
          <w:p/>
        </w:tc>
        <w:tc>
          <w:tcPr>
            <w:tcW w:w="632" w:type="dxa"/>
          </w:tcPr>
          <w:p/>
          <w:p/>
          <w:p>
            <w:r>
              <w:t>√</w:t>
            </w:r>
          </w:p>
        </w:tc>
        <w:tc>
          <w:tcPr>
            <w:tcW w:w="598" w:type="dxa"/>
          </w:tcPr>
          <w:p/>
        </w:tc>
        <w:tc>
          <w:tcPr>
            <w:tcW w:w="456" w:type="dxa"/>
          </w:tcPr>
          <w:p/>
          <w:p/>
          <w:p>
            <w:r>
              <w:t>√</w:t>
            </w:r>
          </w:p>
        </w:tc>
        <w:tc>
          <w:tcPr>
            <w:tcW w:w="446" w:type="dxa"/>
          </w:tcPr>
          <w:p/>
        </w:tc>
        <w:tc>
          <w:tcPr>
            <w:tcW w:w="614" w:type="dxa"/>
          </w:tcPr>
          <w:p/>
        </w:tc>
        <w:tc>
          <w:tcPr>
            <w:tcW w:w="513" w:type="dxa"/>
          </w:tcPr>
          <w:p/>
          <w:p>
            <w:r>
              <w:t>■文本</w:t>
            </w:r>
          </w:p>
          <w:p>
            <w:r>
              <w:t>□图表</w:t>
            </w:r>
          </w:p>
          <w:p>
            <w:r>
              <w:t>□音频</w:t>
            </w:r>
          </w:p>
          <w:p>
            <w:r>
              <w:t>□视频</w:t>
            </w:r>
          </w:p>
        </w:tc>
        <w:tc>
          <w:tcPr>
            <w:tcW w:w="523" w:type="dxa"/>
          </w:tcPr>
          <w:p/>
          <w:p>
            <w:r>
              <w:t>□决策</w:t>
            </w:r>
          </w:p>
          <w:p>
            <w:r>
              <w:t>□执行</w:t>
            </w:r>
          </w:p>
          <w:p>
            <w:r>
              <w:t>□管理</w:t>
            </w:r>
          </w:p>
          <w:p>
            <w:r>
              <w:t>□服务</w:t>
            </w:r>
          </w:p>
          <w:p>
            <w:r>
              <w:t>■结果</w:t>
            </w:r>
          </w:p>
        </w:tc>
        <w:tc>
          <w:tcPr>
            <w:tcW w:w="607" w:type="dxa"/>
          </w:tcPr>
          <w:p/>
        </w:tc>
      </w:tr>
    </w:tbl>
    <w:p>
      <w:pPr>
        <w:sectPr>
          <w:type w:val="continuous"/>
          <w:pgSz w:w="16840" w:h="11910" w:orient="landscape"/>
          <w:pgMar w:top="500" w:right="380" w:bottom="280" w:left="360" w:header="720" w:footer="720" w:gutter="0"/>
        </w:sectPr>
      </w:pPr>
    </w:p>
    <w:tbl>
      <w:tblPr>
        <w:tblStyle w:val="4"/>
        <w:tblW w:w="15862" w:type="dxa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"/>
        <w:gridCol w:w="657"/>
        <w:gridCol w:w="765"/>
        <w:gridCol w:w="765"/>
        <w:gridCol w:w="1641"/>
        <w:gridCol w:w="2239"/>
        <w:gridCol w:w="917"/>
        <w:gridCol w:w="523"/>
        <w:gridCol w:w="1793"/>
        <w:gridCol w:w="783"/>
        <w:gridCol w:w="505"/>
        <w:gridCol w:w="632"/>
        <w:gridCol w:w="598"/>
        <w:gridCol w:w="456"/>
        <w:gridCol w:w="446"/>
        <w:gridCol w:w="614"/>
        <w:gridCol w:w="513"/>
        <w:gridCol w:w="523"/>
        <w:gridCol w:w="607"/>
        <w:gridCol w:w="6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78" w:type="dxa"/>
            <w:vMerge w:val="restart"/>
          </w:tcPr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187" w:type="dxa"/>
            <w:gridSpan w:val="3"/>
          </w:tcPr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公开事项</w:t>
            </w:r>
          </w:p>
        </w:tc>
        <w:tc>
          <w:tcPr>
            <w:tcW w:w="1641" w:type="dxa"/>
            <w:vMerge w:val="restart"/>
          </w:tcPr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公开内容（要素）</w:t>
            </w:r>
          </w:p>
        </w:tc>
        <w:tc>
          <w:tcPr>
            <w:tcW w:w="2239" w:type="dxa"/>
            <w:vMerge w:val="restart"/>
          </w:tcPr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公开依据</w:t>
            </w:r>
          </w:p>
        </w:tc>
        <w:tc>
          <w:tcPr>
            <w:tcW w:w="917" w:type="dxa"/>
            <w:vMerge w:val="restart"/>
          </w:tcPr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公开时限</w:t>
            </w:r>
          </w:p>
        </w:tc>
        <w:tc>
          <w:tcPr>
            <w:tcW w:w="523" w:type="dxa"/>
            <w:vMerge w:val="restart"/>
          </w:tcPr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主体</w:t>
            </w:r>
          </w:p>
        </w:tc>
        <w:tc>
          <w:tcPr>
            <w:tcW w:w="1793" w:type="dxa"/>
            <w:vMerge w:val="restart"/>
          </w:tcPr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公开渠道和载体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（用“■”标注）</w:t>
            </w:r>
          </w:p>
        </w:tc>
        <w:tc>
          <w:tcPr>
            <w:tcW w:w="1288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公开对象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（用“√”标注）</w:t>
            </w:r>
          </w:p>
        </w:tc>
        <w:tc>
          <w:tcPr>
            <w:tcW w:w="1230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公开方式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（用“√”标注）</w:t>
            </w:r>
          </w:p>
        </w:tc>
        <w:tc>
          <w:tcPr>
            <w:tcW w:w="1516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公开层级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（用“√”标注）</w:t>
            </w:r>
          </w:p>
        </w:tc>
        <w:tc>
          <w:tcPr>
            <w:tcW w:w="513" w:type="dxa"/>
            <w:tcBorders>
              <w:bottom w:val="nil"/>
            </w:tcBorders>
          </w:tcPr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格式</w:t>
            </w:r>
          </w:p>
        </w:tc>
        <w:tc>
          <w:tcPr>
            <w:tcW w:w="523" w:type="dxa"/>
            <w:tcBorders>
              <w:bottom w:val="nil"/>
            </w:tcBorders>
          </w:tcPr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五公开</w:t>
            </w:r>
          </w:p>
        </w:tc>
        <w:tc>
          <w:tcPr>
            <w:tcW w:w="607" w:type="dxa"/>
            <w:tcBorders>
              <w:bottom w:val="nil"/>
            </w:tcBorders>
          </w:tcPr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607" w:type="dxa"/>
            <w:vMerge w:val="restart"/>
            <w:tcBorders>
              <w:top w:val="nil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278" w:type="dxa"/>
            <w:vMerge w:val="continue"/>
            <w:tcBorders>
              <w:top w:val="nil"/>
            </w:tcBorders>
          </w:tcPr>
          <w:p/>
        </w:tc>
        <w:tc>
          <w:tcPr>
            <w:tcW w:w="657" w:type="dxa"/>
            <w:vMerge w:val="restart"/>
            <w:tcBorders>
              <w:top w:val="nil"/>
            </w:tcBorders>
          </w:tcPr>
          <w:p/>
        </w:tc>
        <w:tc>
          <w:tcPr>
            <w:tcW w:w="765" w:type="dxa"/>
            <w:vMerge w:val="restart"/>
            <w:tcBorders>
              <w:top w:val="nil"/>
            </w:tcBorders>
          </w:tcPr>
          <w:p/>
        </w:tc>
        <w:tc>
          <w:tcPr>
            <w:tcW w:w="765" w:type="dxa"/>
            <w:vMerge w:val="restart"/>
            <w:tcBorders>
              <w:top w:val="nil"/>
            </w:tcBorders>
          </w:tcPr>
          <w:p/>
        </w:tc>
        <w:tc>
          <w:tcPr>
            <w:tcW w:w="1641" w:type="dxa"/>
            <w:vMerge w:val="continue"/>
          </w:tcPr>
          <w:p/>
        </w:tc>
        <w:tc>
          <w:tcPr>
            <w:tcW w:w="2239" w:type="dxa"/>
            <w:vMerge w:val="continue"/>
          </w:tcPr>
          <w:p/>
        </w:tc>
        <w:tc>
          <w:tcPr>
            <w:tcW w:w="917" w:type="dxa"/>
            <w:vMerge w:val="continue"/>
          </w:tcPr>
          <w:p/>
        </w:tc>
        <w:tc>
          <w:tcPr>
            <w:tcW w:w="523" w:type="dxa"/>
            <w:vMerge w:val="continue"/>
          </w:tcPr>
          <w:p/>
        </w:tc>
        <w:tc>
          <w:tcPr>
            <w:tcW w:w="1793" w:type="dxa"/>
            <w:vMerge w:val="continue"/>
          </w:tcPr>
          <w:p/>
        </w:tc>
        <w:tc>
          <w:tcPr>
            <w:tcW w:w="783" w:type="dxa"/>
            <w:vMerge w:val="restart"/>
            <w:tcBorders>
              <w:top w:val="nil"/>
            </w:tcBorders>
          </w:tcPr>
          <w:p/>
        </w:tc>
        <w:tc>
          <w:tcPr>
            <w:tcW w:w="505" w:type="dxa"/>
            <w:tcBorders>
              <w:top w:val="nil"/>
              <w:bottom w:val="nil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特定</w:t>
            </w:r>
          </w:p>
        </w:tc>
        <w:tc>
          <w:tcPr>
            <w:tcW w:w="632" w:type="dxa"/>
            <w:vMerge w:val="restart"/>
            <w:tcBorders>
              <w:top w:val="nil"/>
            </w:tcBorders>
          </w:tcPr>
          <w:p/>
        </w:tc>
        <w:tc>
          <w:tcPr>
            <w:tcW w:w="598" w:type="dxa"/>
            <w:vMerge w:val="restart"/>
            <w:tcBorders>
              <w:top w:val="nil"/>
            </w:tcBorders>
          </w:tcPr>
          <w:p/>
        </w:tc>
        <w:tc>
          <w:tcPr>
            <w:tcW w:w="456" w:type="dxa"/>
            <w:vMerge w:val="restart"/>
            <w:tcBorders>
              <w:top w:val="nil"/>
            </w:tcBorders>
          </w:tcPr>
          <w:p/>
        </w:tc>
        <w:tc>
          <w:tcPr>
            <w:tcW w:w="446" w:type="dxa"/>
            <w:vMerge w:val="restart"/>
            <w:tcBorders>
              <w:top w:val="nil"/>
            </w:tcBorders>
          </w:tcPr>
          <w:p/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村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/>
        </w:tc>
        <w:tc>
          <w:tcPr>
            <w:tcW w:w="523" w:type="dxa"/>
            <w:tcBorders>
              <w:top w:val="nil"/>
              <w:bottom w:val="nil"/>
            </w:tcBorders>
          </w:tcPr>
          <w:p/>
        </w:tc>
        <w:tc>
          <w:tcPr>
            <w:tcW w:w="607" w:type="dxa"/>
            <w:tcBorders>
              <w:top w:val="nil"/>
              <w:bottom w:val="nil"/>
            </w:tcBorders>
          </w:tcPr>
          <w:p/>
        </w:tc>
        <w:tc>
          <w:tcPr>
            <w:tcW w:w="607" w:type="dxa"/>
            <w:vMerge w:val="continue"/>
            <w:tcBorders>
              <w:top w:val="nil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278" w:type="dxa"/>
            <w:vMerge w:val="continue"/>
            <w:tcBorders>
              <w:top w:val="nil"/>
            </w:tcBorders>
          </w:tcPr>
          <w:p/>
        </w:tc>
        <w:tc>
          <w:tcPr>
            <w:tcW w:w="657" w:type="dxa"/>
            <w:vMerge w:val="continue"/>
            <w:tcBorders>
              <w:top w:val="nil"/>
            </w:tcBorders>
          </w:tcPr>
          <w:p/>
        </w:tc>
        <w:tc>
          <w:tcPr>
            <w:tcW w:w="765" w:type="dxa"/>
            <w:vMerge w:val="continue"/>
            <w:tcBorders>
              <w:top w:val="nil"/>
            </w:tcBorders>
          </w:tcPr>
          <w:p/>
        </w:tc>
        <w:tc>
          <w:tcPr>
            <w:tcW w:w="765" w:type="dxa"/>
            <w:vMerge w:val="continue"/>
            <w:tcBorders>
              <w:top w:val="nil"/>
            </w:tcBorders>
          </w:tcPr>
          <w:p/>
        </w:tc>
        <w:tc>
          <w:tcPr>
            <w:tcW w:w="1641" w:type="dxa"/>
            <w:vMerge w:val="continue"/>
          </w:tcPr>
          <w:p/>
        </w:tc>
        <w:tc>
          <w:tcPr>
            <w:tcW w:w="2239" w:type="dxa"/>
            <w:vMerge w:val="continue"/>
          </w:tcPr>
          <w:p/>
        </w:tc>
        <w:tc>
          <w:tcPr>
            <w:tcW w:w="917" w:type="dxa"/>
            <w:vMerge w:val="continue"/>
          </w:tcPr>
          <w:p/>
        </w:tc>
        <w:tc>
          <w:tcPr>
            <w:tcW w:w="523" w:type="dxa"/>
            <w:vMerge w:val="continue"/>
          </w:tcPr>
          <w:p/>
        </w:tc>
        <w:tc>
          <w:tcPr>
            <w:tcW w:w="1793" w:type="dxa"/>
            <w:vMerge w:val="continue"/>
          </w:tcPr>
          <w:p/>
        </w:tc>
        <w:tc>
          <w:tcPr>
            <w:tcW w:w="783" w:type="dxa"/>
            <w:vMerge w:val="continue"/>
            <w:tcBorders>
              <w:top w:val="nil"/>
            </w:tcBorders>
          </w:tcPr>
          <w:p/>
        </w:tc>
        <w:tc>
          <w:tcPr>
            <w:tcW w:w="505" w:type="dxa"/>
            <w:tcBorders>
              <w:top w:val="nil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群体</w:t>
            </w:r>
          </w:p>
        </w:tc>
        <w:tc>
          <w:tcPr>
            <w:tcW w:w="632" w:type="dxa"/>
            <w:vMerge w:val="continue"/>
            <w:tcBorders>
              <w:top w:val="nil"/>
            </w:tcBorders>
          </w:tcPr>
          <w:p/>
        </w:tc>
        <w:tc>
          <w:tcPr>
            <w:tcW w:w="598" w:type="dxa"/>
            <w:vMerge w:val="continue"/>
            <w:tcBorders>
              <w:top w:val="nil"/>
            </w:tcBorders>
          </w:tcPr>
          <w:p/>
        </w:tc>
        <w:tc>
          <w:tcPr>
            <w:tcW w:w="456" w:type="dxa"/>
            <w:vMerge w:val="continue"/>
            <w:tcBorders>
              <w:top w:val="nil"/>
            </w:tcBorders>
          </w:tcPr>
          <w:p/>
        </w:tc>
        <w:tc>
          <w:tcPr>
            <w:tcW w:w="446" w:type="dxa"/>
            <w:vMerge w:val="continue"/>
            <w:tcBorders>
              <w:top w:val="nil"/>
            </w:tcBorders>
          </w:tcPr>
          <w:p/>
        </w:tc>
        <w:tc>
          <w:tcPr>
            <w:tcW w:w="614" w:type="dxa"/>
            <w:tcBorders>
              <w:top w:val="nil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（社区）</w:t>
            </w:r>
          </w:p>
        </w:tc>
        <w:tc>
          <w:tcPr>
            <w:tcW w:w="513" w:type="dxa"/>
            <w:tcBorders>
              <w:top w:val="nil"/>
            </w:tcBorders>
          </w:tcPr>
          <w:p/>
        </w:tc>
        <w:tc>
          <w:tcPr>
            <w:tcW w:w="523" w:type="dxa"/>
            <w:tcBorders>
              <w:top w:val="nil"/>
            </w:tcBorders>
          </w:tcPr>
          <w:p/>
        </w:tc>
        <w:tc>
          <w:tcPr>
            <w:tcW w:w="607" w:type="dxa"/>
            <w:tcBorders>
              <w:top w:val="nil"/>
            </w:tcBorders>
          </w:tcPr>
          <w:p/>
        </w:tc>
        <w:tc>
          <w:tcPr>
            <w:tcW w:w="607" w:type="dxa"/>
            <w:vMerge w:val="continue"/>
            <w:tcBorders>
              <w:top w:val="nil"/>
              <w:right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278" w:type="dxa"/>
            <w:tcBorders>
              <w:top w:val="nil"/>
              <w:bottom w:val="nil"/>
            </w:tcBorders>
          </w:tcPr>
          <w:p/>
        </w:tc>
        <w:tc>
          <w:tcPr>
            <w:tcW w:w="657" w:type="dxa"/>
            <w:tcBorders>
              <w:top w:val="nil"/>
              <w:bottom w:val="nil"/>
            </w:tcBorders>
          </w:tcPr>
          <w:p/>
        </w:tc>
        <w:tc>
          <w:tcPr>
            <w:tcW w:w="765" w:type="dxa"/>
            <w:tcBorders>
              <w:bottom w:val="nil"/>
            </w:tcBorders>
          </w:tcPr>
          <w:p/>
        </w:tc>
        <w:tc>
          <w:tcPr>
            <w:tcW w:w="765" w:type="dxa"/>
            <w:vMerge w:val="restart"/>
          </w:tcPr>
          <w:p/>
        </w:tc>
        <w:tc>
          <w:tcPr>
            <w:tcW w:w="1641" w:type="dxa"/>
            <w:tcBorders>
              <w:bottom w:val="nil"/>
            </w:tcBorders>
          </w:tcPr>
          <w:p/>
        </w:tc>
        <w:tc>
          <w:tcPr>
            <w:tcW w:w="2239" w:type="dxa"/>
            <w:tcBorders>
              <w:bottom w:val="nil"/>
            </w:tcBorders>
          </w:tcPr>
          <w:p/>
        </w:tc>
        <w:tc>
          <w:tcPr>
            <w:tcW w:w="917" w:type="dxa"/>
            <w:tcBorders>
              <w:bottom w:val="nil"/>
            </w:tcBorders>
          </w:tcPr>
          <w:p/>
        </w:tc>
        <w:tc>
          <w:tcPr>
            <w:tcW w:w="523" w:type="dxa"/>
            <w:vMerge w:val="restart"/>
          </w:tcPr>
          <w:p/>
        </w:tc>
        <w:tc>
          <w:tcPr>
            <w:tcW w:w="1793" w:type="dxa"/>
            <w:tcBorders>
              <w:bottom w:val="nil"/>
            </w:tcBorders>
          </w:tcPr>
          <w:p>
            <w:r>
              <w:t>■政府网站 □政府公报</w:t>
            </w:r>
          </w:p>
        </w:tc>
        <w:tc>
          <w:tcPr>
            <w:tcW w:w="783" w:type="dxa"/>
            <w:tcBorders>
              <w:bottom w:val="nil"/>
            </w:tcBorders>
          </w:tcPr>
          <w:p/>
        </w:tc>
        <w:tc>
          <w:tcPr>
            <w:tcW w:w="505" w:type="dxa"/>
            <w:vMerge w:val="restart"/>
          </w:tcPr>
          <w:p/>
        </w:tc>
        <w:tc>
          <w:tcPr>
            <w:tcW w:w="632" w:type="dxa"/>
            <w:tcBorders>
              <w:bottom w:val="nil"/>
            </w:tcBorders>
          </w:tcPr>
          <w:p/>
        </w:tc>
        <w:tc>
          <w:tcPr>
            <w:tcW w:w="598" w:type="dxa"/>
            <w:vMerge w:val="restart"/>
          </w:tcPr>
          <w:p/>
        </w:tc>
        <w:tc>
          <w:tcPr>
            <w:tcW w:w="456" w:type="dxa"/>
            <w:tcBorders>
              <w:bottom w:val="nil"/>
            </w:tcBorders>
          </w:tcPr>
          <w:p/>
        </w:tc>
        <w:tc>
          <w:tcPr>
            <w:tcW w:w="446" w:type="dxa"/>
            <w:vMerge w:val="restart"/>
          </w:tcPr>
          <w:p/>
        </w:tc>
        <w:tc>
          <w:tcPr>
            <w:tcW w:w="614" w:type="dxa"/>
            <w:vMerge w:val="restart"/>
          </w:tcPr>
          <w:p/>
        </w:tc>
        <w:tc>
          <w:tcPr>
            <w:tcW w:w="513" w:type="dxa"/>
            <w:tcBorders>
              <w:bottom w:val="nil"/>
            </w:tcBorders>
          </w:tcPr>
          <w:p/>
        </w:tc>
        <w:tc>
          <w:tcPr>
            <w:tcW w:w="523" w:type="dxa"/>
            <w:tcBorders>
              <w:bottom w:val="nil"/>
            </w:tcBorders>
          </w:tcPr>
          <w:p/>
        </w:tc>
        <w:tc>
          <w:tcPr>
            <w:tcW w:w="607" w:type="dxa"/>
            <w:tcBorders>
              <w:bottom w:val="nil"/>
            </w:tcBorders>
          </w:tcPr>
          <w:p/>
        </w:tc>
        <w:tc>
          <w:tcPr>
            <w:tcW w:w="607" w:type="dxa"/>
            <w:vMerge w:val="restart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888" w:hRule="atLeast"/>
        </w:trPr>
        <w:tc>
          <w:tcPr>
            <w:tcW w:w="278" w:type="dxa"/>
            <w:tcBorders>
              <w:top w:val="nil"/>
              <w:bottom w:val="nil"/>
            </w:tcBorders>
          </w:tcPr>
          <w:p/>
        </w:tc>
        <w:tc>
          <w:tcPr>
            <w:tcW w:w="657" w:type="dxa"/>
            <w:tcBorders>
              <w:top w:val="nil"/>
              <w:bottom w:val="nil"/>
            </w:tcBorders>
          </w:tcPr>
          <w:p/>
        </w:tc>
        <w:tc>
          <w:tcPr>
            <w:tcW w:w="765" w:type="dxa"/>
            <w:tcBorders>
              <w:top w:val="nil"/>
              <w:bottom w:val="nil"/>
            </w:tcBorders>
          </w:tcPr>
          <w:p/>
          <w:p>
            <w:r>
              <w:t>道路运输监督检查结果</w:t>
            </w:r>
          </w:p>
        </w:tc>
        <w:tc>
          <w:tcPr>
            <w:tcW w:w="765" w:type="dxa"/>
            <w:vMerge w:val="continue"/>
            <w:tcBorders>
              <w:top w:val="nil"/>
            </w:tcBorders>
          </w:tcPr>
          <w:p/>
        </w:tc>
        <w:tc>
          <w:tcPr>
            <w:tcW w:w="1641" w:type="dxa"/>
            <w:tcBorders>
              <w:top w:val="nil"/>
              <w:bottom w:val="nil"/>
            </w:tcBorders>
          </w:tcPr>
          <w:p/>
          <w:p>
            <w:r>
              <w:t>1.抽查事项；2.实施细则；3. 计划公告；4.任务公告；5.结果公告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/>
          <w:p/>
          <w:p>
            <w:r>
              <w:t>《浙江省行政程序办法》第五条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/>
          <w:p>
            <w:r>
              <w:t>自该信息形成或者变更之日起20 个工作日内</w:t>
            </w:r>
          </w:p>
        </w:tc>
        <w:tc>
          <w:tcPr>
            <w:tcW w:w="523" w:type="dxa"/>
            <w:vMerge w:val="continue"/>
            <w:tcBorders>
              <w:top w:val="nil"/>
            </w:tcBorders>
          </w:tcPr>
          <w:p/>
        </w:tc>
        <w:tc>
          <w:tcPr>
            <w:tcW w:w="1793" w:type="dxa"/>
            <w:tcBorders>
              <w:top w:val="nil"/>
              <w:bottom w:val="nil"/>
            </w:tcBorders>
          </w:tcPr>
          <w:p>
            <w:r>
              <w:t>□两微一端 □发布会/听证会</w:t>
            </w:r>
          </w:p>
          <w:p>
            <w:r>
              <w:t>□广播电视 □纸质媒体</w:t>
            </w:r>
          </w:p>
          <w:p>
            <w:r>
              <w:t>□公开查阅点□政务服务中心</w:t>
            </w:r>
          </w:p>
          <w:p>
            <w:r>
              <w:t>□便民服务站□入户/现场</w:t>
            </w:r>
          </w:p>
          <w:p>
            <w:r>
              <w:t>□社区/企事业单位/村公示栏</w:t>
            </w:r>
          </w:p>
          <w:p>
            <w:r>
              <w:t>（电子屏）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/>
          <w:p/>
          <w:p>
            <w:r>
              <w:t>√</w:t>
            </w:r>
          </w:p>
        </w:tc>
        <w:tc>
          <w:tcPr>
            <w:tcW w:w="505" w:type="dxa"/>
            <w:vMerge w:val="continue"/>
            <w:tcBorders>
              <w:top w:val="nil"/>
            </w:tcBorders>
          </w:tcPr>
          <w:p/>
        </w:tc>
        <w:tc>
          <w:tcPr>
            <w:tcW w:w="632" w:type="dxa"/>
            <w:tcBorders>
              <w:top w:val="nil"/>
              <w:bottom w:val="nil"/>
            </w:tcBorders>
          </w:tcPr>
          <w:p/>
          <w:p/>
          <w:p>
            <w:r>
              <w:t>√</w:t>
            </w:r>
          </w:p>
        </w:tc>
        <w:tc>
          <w:tcPr>
            <w:tcW w:w="598" w:type="dxa"/>
            <w:vMerge w:val="continue"/>
            <w:tcBorders>
              <w:top w:val="nil"/>
            </w:tcBorders>
          </w:tcPr>
          <w:p/>
        </w:tc>
        <w:tc>
          <w:tcPr>
            <w:tcW w:w="456" w:type="dxa"/>
            <w:tcBorders>
              <w:top w:val="nil"/>
              <w:bottom w:val="nil"/>
            </w:tcBorders>
          </w:tcPr>
          <w:p/>
          <w:p/>
          <w:p>
            <w:r>
              <w:t>√</w:t>
            </w:r>
          </w:p>
        </w:tc>
        <w:tc>
          <w:tcPr>
            <w:tcW w:w="446" w:type="dxa"/>
            <w:vMerge w:val="continue"/>
            <w:tcBorders>
              <w:top w:val="nil"/>
            </w:tcBorders>
          </w:tcPr>
          <w:p/>
        </w:tc>
        <w:tc>
          <w:tcPr>
            <w:tcW w:w="614" w:type="dxa"/>
            <w:vMerge w:val="continue"/>
            <w:tcBorders>
              <w:top w:val="nil"/>
            </w:tcBorders>
          </w:tcPr>
          <w:p/>
        </w:tc>
        <w:tc>
          <w:tcPr>
            <w:tcW w:w="513" w:type="dxa"/>
            <w:tcBorders>
              <w:top w:val="nil"/>
              <w:bottom w:val="nil"/>
            </w:tcBorders>
          </w:tcPr>
          <w:p>
            <w:r>
              <w:t>■文本</w:t>
            </w:r>
          </w:p>
          <w:p>
            <w:r>
              <w:t>□图表</w:t>
            </w:r>
          </w:p>
          <w:p>
            <w:r>
              <w:t>□音频</w:t>
            </w:r>
          </w:p>
          <w:p>
            <w:r>
              <w:t>□视频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r>
              <w:t>□决策</w:t>
            </w:r>
          </w:p>
          <w:p>
            <w:r>
              <w:t>□执行</w:t>
            </w:r>
          </w:p>
          <w:p>
            <w:r>
              <w:t>□管理</w:t>
            </w:r>
          </w:p>
          <w:p>
            <w:r>
              <w:t>□服务</w:t>
            </w:r>
          </w:p>
          <w:p>
            <w:r>
              <w:t>结■果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/>
        </w:tc>
        <w:tc>
          <w:tcPr>
            <w:tcW w:w="607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278" w:type="dxa"/>
            <w:tcBorders>
              <w:top w:val="nil"/>
            </w:tcBorders>
          </w:tcPr>
          <w:p/>
        </w:tc>
        <w:tc>
          <w:tcPr>
            <w:tcW w:w="657" w:type="dxa"/>
            <w:tcBorders>
              <w:top w:val="nil"/>
              <w:bottom w:val="nil"/>
            </w:tcBorders>
          </w:tcPr>
          <w:p/>
        </w:tc>
        <w:tc>
          <w:tcPr>
            <w:tcW w:w="765" w:type="dxa"/>
            <w:tcBorders>
              <w:top w:val="nil"/>
            </w:tcBorders>
          </w:tcPr>
          <w:p/>
        </w:tc>
        <w:tc>
          <w:tcPr>
            <w:tcW w:w="765" w:type="dxa"/>
            <w:vMerge w:val="continue"/>
            <w:tcBorders>
              <w:top w:val="nil"/>
            </w:tcBorders>
          </w:tcPr>
          <w:p/>
        </w:tc>
        <w:tc>
          <w:tcPr>
            <w:tcW w:w="1641" w:type="dxa"/>
            <w:tcBorders>
              <w:top w:val="nil"/>
            </w:tcBorders>
          </w:tcPr>
          <w:p/>
        </w:tc>
        <w:tc>
          <w:tcPr>
            <w:tcW w:w="2239" w:type="dxa"/>
            <w:tcBorders>
              <w:top w:val="nil"/>
            </w:tcBorders>
          </w:tcPr>
          <w:p/>
        </w:tc>
        <w:tc>
          <w:tcPr>
            <w:tcW w:w="917" w:type="dxa"/>
            <w:tcBorders>
              <w:top w:val="nil"/>
            </w:tcBorders>
          </w:tcPr>
          <w:p/>
        </w:tc>
        <w:tc>
          <w:tcPr>
            <w:tcW w:w="523" w:type="dxa"/>
            <w:vMerge w:val="continue"/>
            <w:tcBorders>
              <w:top w:val="nil"/>
            </w:tcBorders>
          </w:tcPr>
          <w:p/>
        </w:tc>
        <w:tc>
          <w:tcPr>
            <w:tcW w:w="1793" w:type="dxa"/>
            <w:tcBorders>
              <w:top w:val="nil"/>
            </w:tcBorders>
          </w:tcPr>
          <w:p>
            <w:r>
              <w:t>□精准推送 □其他</w:t>
            </w:r>
          </w:p>
        </w:tc>
        <w:tc>
          <w:tcPr>
            <w:tcW w:w="783" w:type="dxa"/>
            <w:tcBorders>
              <w:top w:val="nil"/>
            </w:tcBorders>
          </w:tcPr>
          <w:p/>
        </w:tc>
        <w:tc>
          <w:tcPr>
            <w:tcW w:w="505" w:type="dxa"/>
            <w:vMerge w:val="continue"/>
            <w:tcBorders>
              <w:top w:val="nil"/>
            </w:tcBorders>
          </w:tcPr>
          <w:p/>
        </w:tc>
        <w:tc>
          <w:tcPr>
            <w:tcW w:w="632" w:type="dxa"/>
            <w:tcBorders>
              <w:top w:val="nil"/>
            </w:tcBorders>
          </w:tcPr>
          <w:p/>
        </w:tc>
        <w:tc>
          <w:tcPr>
            <w:tcW w:w="598" w:type="dxa"/>
            <w:vMerge w:val="continue"/>
            <w:tcBorders>
              <w:top w:val="nil"/>
            </w:tcBorders>
          </w:tcPr>
          <w:p/>
        </w:tc>
        <w:tc>
          <w:tcPr>
            <w:tcW w:w="456" w:type="dxa"/>
            <w:tcBorders>
              <w:top w:val="nil"/>
            </w:tcBorders>
          </w:tcPr>
          <w:p/>
        </w:tc>
        <w:tc>
          <w:tcPr>
            <w:tcW w:w="446" w:type="dxa"/>
            <w:vMerge w:val="continue"/>
            <w:tcBorders>
              <w:top w:val="nil"/>
            </w:tcBorders>
          </w:tcPr>
          <w:p/>
        </w:tc>
        <w:tc>
          <w:tcPr>
            <w:tcW w:w="614" w:type="dxa"/>
            <w:vMerge w:val="continue"/>
            <w:tcBorders>
              <w:top w:val="nil"/>
            </w:tcBorders>
          </w:tcPr>
          <w:p/>
        </w:tc>
        <w:tc>
          <w:tcPr>
            <w:tcW w:w="513" w:type="dxa"/>
            <w:tcBorders>
              <w:top w:val="nil"/>
            </w:tcBorders>
          </w:tcPr>
          <w:p/>
        </w:tc>
        <w:tc>
          <w:tcPr>
            <w:tcW w:w="523" w:type="dxa"/>
            <w:tcBorders>
              <w:top w:val="nil"/>
            </w:tcBorders>
          </w:tcPr>
          <w:p/>
        </w:tc>
        <w:tc>
          <w:tcPr>
            <w:tcW w:w="607" w:type="dxa"/>
            <w:tcBorders>
              <w:top w:val="nil"/>
            </w:tcBorders>
          </w:tcPr>
          <w:p/>
        </w:tc>
        <w:tc>
          <w:tcPr>
            <w:tcW w:w="607" w:type="dxa"/>
            <w:vMerge w:val="continue"/>
            <w:tcBorders>
              <w:top w:val="nil"/>
            </w:tcBorders>
          </w:tcPr>
          <w:p/>
        </w:tc>
      </w:tr>
    </w:tbl>
    <w:p/>
    <w:sectPr>
      <w:pgSz w:w="16840" w:h="11910" w:orient="landscape"/>
      <w:pgMar w:top="500" w:right="380" w:bottom="280" w:left="360" w:header="720" w:footer="720" w:gutter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Mono CJK HK">
    <w:altName w:val="仿宋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WenQuanYi Micro Hei">
    <w:altName w:val="仿宋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HK">
    <w:altName w:val="仿宋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37FFD7E8"/>
    <w:rsid w:val="3F1FA12B"/>
    <w:rsid w:val="6FAF6592"/>
    <w:rsid w:val="7BF90466"/>
    <w:rsid w:val="FAED3B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HK" w:hAnsi="Noto Sans Mono CJK HK" w:eastAsia="Noto Sans Mono CJK HK" w:cs="Noto Sans Mono CJK HK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501" w:lineRule="exact"/>
      <w:ind w:left="4737"/>
    </w:pPr>
    <w:rPr>
      <w:rFonts w:ascii="WenQuanYi Micro Hei" w:hAnsi="WenQuanYi Micro Hei" w:eastAsia="WenQuanYi Micro Hei" w:cs="WenQuanYi Micro Hei"/>
      <w:sz w:val="31"/>
      <w:szCs w:val="31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Noto Sans Mono CJK HK" w:hAnsi="Noto Sans Mono CJK HK" w:eastAsia="Noto Sans Mono CJK HK" w:cs="Noto Sans Mono CJK HK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Office_10.1.0.8047_F1E327BC-269C-435d-A152-05C5408002CA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2023-08-15T18:42:00Z</dcterms:created>
  <dc:creator>hy</dc:creator>
  <cp:lastModifiedBy>uos</cp:lastModifiedBy>
  <cp:lastPrinted>2023-08-15T19:17:00Z</cp:lastPrinted>
  <dcterms:modified xsi:type="dcterms:W3CDTF">2023-08-14T16:13:21Z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WPS 表格</vt:lpwstr>
  </property>
  <property fmtid="{D5CDD505-2E9C-101B-9397-08002B2CF9AE}" pid="4" name="LastSaved">
    <vt:filetime>2023-08-14T00:00:00Z</vt:filetime>
  </property>
  <property fmtid="{D5CDD505-2E9C-101B-9397-08002B2CF9AE}" pid="5" name="KSOProductBuildVer">
    <vt:lpwstr>2052-10.1.0.8047</vt:lpwstr>
  </property>
</Properties>
</file>