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880"/>
        <w:jc w:val="center"/>
        <w:rPr>
          <w:rFonts w:ascii="宋体" w:hAnsi="宋体" w:eastAsia="宋体"/>
          <w:b/>
          <w:sz w:val="44"/>
          <w:szCs w:val="44"/>
        </w:rPr>
      </w:pPr>
    </w:p>
    <w:p>
      <w:pPr>
        <w:spacing w:line="276" w:lineRule="auto"/>
        <w:ind w:firstLine="880"/>
        <w:jc w:val="center"/>
        <w:rPr>
          <w:rFonts w:ascii="宋体" w:hAnsi="宋体" w:eastAsia="宋体"/>
          <w:b/>
          <w:sz w:val="44"/>
          <w:szCs w:val="44"/>
        </w:rPr>
      </w:pPr>
    </w:p>
    <w:p>
      <w:pPr>
        <w:spacing w:line="276" w:lineRule="auto"/>
        <w:ind w:firstLine="883"/>
        <w:jc w:val="center"/>
        <w:rPr>
          <w:rFonts w:ascii="宋体" w:hAnsi="宋体" w:eastAsia="宋体"/>
          <w:b/>
          <w:sz w:val="44"/>
          <w:szCs w:val="44"/>
        </w:rPr>
      </w:pPr>
      <w:r>
        <w:rPr>
          <w:rFonts w:hint="eastAsia" w:ascii="宋体" w:hAnsi="宋体" w:eastAsia="宋体"/>
          <w:b/>
          <w:sz w:val="44"/>
          <w:szCs w:val="44"/>
        </w:rPr>
        <w:t>2024-2026年度浦江县政府投资项目审核服务第三方机构</w:t>
      </w:r>
    </w:p>
    <w:p>
      <w:pPr>
        <w:spacing w:line="276" w:lineRule="auto"/>
        <w:ind w:firstLine="883"/>
        <w:jc w:val="center"/>
        <w:rPr>
          <w:rFonts w:ascii="宋体" w:hAnsi="宋体" w:eastAsia="宋体"/>
          <w:b/>
          <w:sz w:val="44"/>
          <w:szCs w:val="44"/>
        </w:rPr>
      </w:pPr>
      <w:r>
        <w:rPr>
          <w:rFonts w:hint="eastAsia" w:ascii="宋体" w:hAnsi="宋体" w:eastAsia="宋体"/>
          <w:b/>
          <w:sz w:val="44"/>
          <w:szCs w:val="44"/>
        </w:rPr>
        <w:t>封闭式框架协议项目</w:t>
      </w:r>
    </w:p>
    <w:p>
      <w:pPr>
        <w:spacing w:line="276" w:lineRule="auto"/>
        <w:ind w:firstLine="883"/>
        <w:jc w:val="center"/>
        <w:rPr>
          <w:rFonts w:ascii="宋体" w:hAnsi="宋体" w:eastAsia="宋体"/>
          <w:b/>
          <w:sz w:val="44"/>
          <w:szCs w:val="44"/>
        </w:rPr>
      </w:pPr>
      <w:r>
        <w:rPr>
          <w:rFonts w:hint="eastAsia" w:ascii="宋体" w:hAnsi="宋体" w:eastAsia="宋体"/>
          <w:b/>
          <w:sz w:val="44"/>
          <w:szCs w:val="44"/>
        </w:rPr>
        <w:t>征集文件</w:t>
      </w:r>
    </w:p>
    <w:p>
      <w:pPr>
        <w:spacing w:line="276" w:lineRule="auto"/>
        <w:ind w:firstLine="883"/>
        <w:jc w:val="center"/>
        <w:rPr>
          <w:rFonts w:ascii="宋体" w:hAnsi="宋体" w:eastAsia="宋体"/>
          <w:b/>
          <w:sz w:val="44"/>
          <w:szCs w:val="44"/>
        </w:rPr>
      </w:pPr>
      <w:r>
        <w:rPr>
          <w:rFonts w:hint="eastAsia" w:ascii="宋体" w:hAnsi="宋体" w:eastAsia="宋体"/>
          <w:b/>
          <w:sz w:val="44"/>
          <w:szCs w:val="44"/>
        </w:rPr>
        <w:t>（封闭式框架协议）</w:t>
      </w:r>
    </w:p>
    <w:p>
      <w:pPr>
        <w:ind w:firstLine="560"/>
        <w:rPr>
          <w:rFonts w:ascii="宋体" w:hAnsi="宋体" w:eastAsia="宋体"/>
          <w:b/>
          <w:sz w:val="28"/>
        </w:rPr>
      </w:pPr>
    </w:p>
    <w:p>
      <w:pPr>
        <w:ind w:firstLine="560"/>
        <w:rPr>
          <w:rFonts w:ascii="宋体" w:hAnsi="宋体" w:eastAsia="宋体"/>
          <w:b/>
          <w:sz w:val="28"/>
        </w:rPr>
      </w:pPr>
    </w:p>
    <w:p>
      <w:pPr>
        <w:ind w:firstLine="560"/>
        <w:rPr>
          <w:rFonts w:ascii="宋体" w:hAnsi="宋体" w:eastAsia="宋体"/>
          <w:b/>
          <w:sz w:val="28"/>
        </w:rPr>
      </w:pPr>
    </w:p>
    <w:p>
      <w:pPr>
        <w:ind w:firstLine="560"/>
        <w:rPr>
          <w:rFonts w:ascii="宋体" w:hAnsi="宋体" w:eastAsia="宋体"/>
          <w:b/>
          <w:sz w:val="28"/>
        </w:rPr>
      </w:pPr>
    </w:p>
    <w:p>
      <w:pPr>
        <w:ind w:firstLine="560"/>
        <w:rPr>
          <w:rFonts w:ascii="宋体" w:hAnsi="宋体" w:eastAsia="宋体"/>
          <w:b/>
          <w:sz w:val="28"/>
        </w:rPr>
      </w:pPr>
    </w:p>
    <w:p>
      <w:pPr>
        <w:ind w:firstLine="560"/>
        <w:rPr>
          <w:rFonts w:ascii="宋体" w:hAnsi="宋体" w:eastAsia="宋体"/>
          <w:b/>
          <w:sz w:val="28"/>
        </w:rPr>
      </w:pPr>
    </w:p>
    <w:p>
      <w:pPr>
        <w:ind w:firstLine="560"/>
        <w:rPr>
          <w:rFonts w:ascii="宋体" w:hAnsi="宋体" w:eastAsia="宋体"/>
          <w:b/>
          <w:sz w:val="28"/>
        </w:rPr>
      </w:pPr>
    </w:p>
    <w:p>
      <w:pPr>
        <w:ind w:firstLine="723"/>
        <w:rPr>
          <w:rFonts w:ascii="宋体" w:hAnsi="宋体" w:eastAsia="宋体"/>
          <w:b/>
          <w:sz w:val="36"/>
          <w:szCs w:val="36"/>
        </w:rPr>
      </w:pPr>
      <w:r>
        <w:rPr>
          <w:rFonts w:hint="eastAsia" w:ascii="宋体" w:hAnsi="宋体" w:eastAsia="宋体"/>
          <w:b/>
          <w:sz w:val="36"/>
          <w:szCs w:val="36"/>
        </w:rPr>
        <w:t>项目编号：ZPKJ2024-001</w:t>
      </w:r>
    </w:p>
    <w:p>
      <w:pPr>
        <w:ind w:firstLine="723"/>
        <w:rPr>
          <w:rFonts w:ascii="宋体" w:hAnsi="宋体" w:eastAsia="宋体"/>
          <w:b/>
          <w:sz w:val="36"/>
          <w:szCs w:val="36"/>
        </w:rPr>
      </w:pPr>
      <w:r>
        <w:rPr>
          <w:rFonts w:hint="eastAsia" w:ascii="宋体" w:hAnsi="宋体" w:eastAsia="宋体"/>
          <w:b/>
          <w:sz w:val="36"/>
          <w:szCs w:val="36"/>
        </w:rPr>
        <w:t>项目名称：2024-2026年度浦江县政府投资项目审核服务第三方机构封闭式框架协议项目</w:t>
      </w:r>
    </w:p>
    <w:p>
      <w:pPr>
        <w:ind w:firstLine="723"/>
        <w:rPr>
          <w:rFonts w:ascii="宋体" w:hAnsi="宋体" w:eastAsia="宋体"/>
          <w:b/>
          <w:sz w:val="32"/>
          <w:szCs w:val="32"/>
        </w:rPr>
      </w:pPr>
      <w:r>
        <w:rPr>
          <w:rFonts w:hint="eastAsia" w:ascii="宋体" w:hAnsi="宋体" w:eastAsia="宋体"/>
          <w:b/>
          <w:sz w:val="36"/>
          <w:szCs w:val="36"/>
        </w:rPr>
        <w:t>征集人：浦江县财政项目预算审核中心</w:t>
      </w:r>
    </w:p>
    <w:p>
      <w:pPr>
        <w:ind w:firstLine="723"/>
        <w:rPr>
          <w:rFonts w:ascii="宋体" w:hAnsi="宋体" w:eastAsia="宋体"/>
          <w:b/>
          <w:sz w:val="36"/>
          <w:szCs w:val="36"/>
        </w:rPr>
      </w:pPr>
      <w:r>
        <w:rPr>
          <w:rFonts w:hint="eastAsia" w:ascii="宋体" w:hAnsi="宋体" w:eastAsia="宋体"/>
          <w:b/>
          <w:sz w:val="36"/>
          <w:szCs w:val="36"/>
        </w:rPr>
        <w:t xml:space="preserve">       金华市公共资源交易中心浦江县分中心</w:t>
      </w:r>
    </w:p>
    <w:p>
      <w:pPr>
        <w:ind w:firstLine="723"/>
        <w:rPr>
          <w:rFonts w:ascii="宋体" w:hAnsi="宋体" w:eastAsia="宋体"/>
          <w:b/>
          <w:sz w:val="36"/>
          <w:szCs w:val="36"/>
        </w:rPr>
        <w:sectPr>
          <w:footerReference r:id="rId3" w:type="default"/>
          <w:pgSz w:w="11906" w:h="16838"/>
          <w:pgMar w:top="1440" w:right="1800" w:bottom="1440" w:left="1800" w:header="851" w:footer="992" w:gutter="0"/>
          <w:cols w:space="425" w:num="1"/>
          <w:docGrid w:type="lines" w:linePitch="312" w:charSpace="0"/>
        </w:sectPr>
      </w:pPr>
      <w:r>
        <w:rPr>
          <w:rFonts w:hint="eastAsia" w:ascii="宋体" w:hAnsi="宋体" w:eastAsia="宋体"/>
          <w:b/>
          <w:sz w:val="36"/>
          <w:szCs w:val="36"/>
        </w:rPr>
        <w:t xml:space="preserve">                     二〇二四年四月</w:t>
      </w:r>
    </w:p>
    <w:p>
      <w:pPr>
        <w:ind w:firstLine="720"/>
        <w:jc w:val="center"/>
        <w:rPr>
          <w:rFonts w:ascii="宋体" w:hAnsi="宋体" w:eastAsia="宋体"/>
          <w:b/>
          <w:sz w:val="36"/>
          <w:szCs w:val="36"/>
        </w:rPr>
      </w:pPr>
    </w:p>
    <w:p>
      <w:pPr>
        <w:ind w:firstLine="720"/>
        <w:jc w:val="center"/>
        <w:rPr>
          <w:rFonts w:ascii="宋体" w:hAnsi="宋体" w:eastAsia="宋体"/>
          <w:b/>
          <w:sz w:val="36"/>
          <w:szCs w:val="36"/>
        </w:rPr>
      </w:pPr>
    </w:p>
    <w:p>
      <w:pPr>
        <w:ind w:firstLine="883"/>
        <w:jc w:val="center"/>
        <w:rPr>
          <w:rFonts w:asciiTheme="minorEastAsia" w:hAnsiTheme="minorEastAsia"/>
          <w:b/>
          <w:sz w:val="44"/>
          <w:szCs w:val="44"/>
        </w:rPr>
      </w:pPr>
      <w:r>
        <w:rPr>
          <w:rFonts w:hint="eastAsia" w:asciiTheme="minorEastAsia" w:hAnsiTheme="minorEastAsia"/>
          <w:b/>
          <w:sz w:val="44"/>
          <w:szCs w:val="44"/>
        </w:rPr>
        <w:t>目  录</w:t>
      </w:r>
    </w:p>
    <w:p>
      <w:pPr>
        <w:ind w:firstLine="720"/>
        <w:jc w:val="center"/>
        <w:rPr>
          <w:rFonts w:ascii="宋体" w:hAnsi="宋体" w:eastAsia="宋体"/>
          <w:b/>
          <w:sz w:val="36"/>
          <w:szCs w:val="36"/>
        </w:rPr>
      </w:pPr>
    </w:p>
    <w:p>
      <w:pPr>
        <w:pStyle w:val="14"/>
        <w:rPr>
          <w:kern w:val="2"/>
        </w:rPr>
      </w:pPr>
      <w:r>
        <w:rPr>
          <w:rFonts w:ascii="宋体" w:hAnsi="宋体" w:eastAsia="宋体"/>
          <w:b/>
          <w:sz w:val="36"/>
          <w:szCs w:val="36"/>
        </w:rPr>
        <w:fldChar w:fldCharType="begin"/>
      </w:r>
      <w:r>
        <w:rPr>
          <w:rFonts w:ascii="宋体" w:hAnsi="宋体" w:eastAsia="宋体"/>
          <w:b/>
          <w:sz w:val="36"/>
          <w:szCs w:val="36"/>
        </w:rPr>
        <w:instrText xml:space="preserve"> TOC \o "1-1" \h \z \u </w:instrText>
      </w:r>
      <w:r>
        <w:rPr>
          <w:rFonts w:ascii="宋体" w:hAnsi="宋体" w:eastAsia="宋体"/>
          <w:b/>
          <w:sz w:val="36"/>
          <w:szCs w:val="36"/>
        </w:rPr>
        <w:fldChar w:fldCharType="separate"/>
      </w:r>
      <w:r>
        <w:fldChar w:fldCharType="begin"/>
      </w:r>
      <w:r>
        <w:instrText xml:space="preserve"> HYPERLINK \l "_Toc157175689" </w:instrText>
      </w:r>
      <w:r>
        <w:fldChar w:fldCharType="separate"/>
      </w:r>
      <w:r>
        <w:rPr>
          <w:rStyle w:val="23"/>
          <w:rFonts w:hint="eastAsia"/>
          <w:color w:val="auto"/>
          <w:sz w:val="28"/>
        </w:rPr>
        <w:t>第一章</w:t>
      </w:r>
      <w:r>
        <w:rPr>
          <w:rStyle w:val="23"/>
          <w:color w:val="auto"/>
          <w:sz w:val="28"/>
        </w:rPr>
        <w:t xml:space="preserve"> </w:t>
      </w:r>
      <w:r>
        <w:rPr>
          <w:rStyle w:val="23"/>
          <w:rFonts w:hint="eastAsia"/>
          <w:color w:val="auto"/>
          <w:sz w:val="28"/>
        </w:rPr>
        <w:t>征集公告</w:t>
      </w:r>
      <w:r>
        <w:tab/>
      </w:r>
      <w:r>
        <w:fldChar w:fldCharType="begin"/>
      </w:r>
      <w:r>
        <w:instrText xml:space="preserve"> PAGEREF _Toc157175689 \h </w:instrText>
      </w:r>
      <w:r>
        <w:fldChar w:fldCharType="separate"/>
      </w:r>
      <w:r>
        <w:t>1</w:t>
      </w:r>
      <w:r>
        <w:fldChar w:fldCharType="end"/>
      </w:r>
      <w:r>
        <w:fldChar w:fldCharType="end"/>
      </w:r>
    </w:p>
    <w:p>
      <w:pPr>
        <w:pStyle w:val="14"/>
        <w:rPr>
          <w:kern w:val="2"/>
        </w:rPr>
      </w:pPr>
      <w:r>
        <w:fldChar w:fldCharType="begin"/>
      </w:r>
      <w:r>
        <w:instrText xml:space="preserve"> HYPERLINK \l "_Toc157175690" </w:instrText>
      </w:r>
      <w:r>
        <w:fldChar w:fldCharType="separate"/>
      </w:r>
      <w:r>
        <w:rPr>
          <w:rStyle w:val="23"/>
          <w:rFonts w:hint="eastAsia"/>
          <w:color w:val="auto"/>
          <w:sz w:val="28"/>
        </w:rPr>
        <w:t>第二章</w:t>
      </w:r>
      <w:r>
        <w:rPr>
          <w:rStyle w:val="23"/>
          <w:color w:val="auto"/>
          <w:sz w:val="28"/>
        </w:rPr>
        <w:t xml:space="preserve"> </w:t>
      </w:r>
      <w:r>
        <w:rPr>
          <w:rStyle w:val="23"/>
          <w:rFonts w:hint="eastAsia"/>
          <w:color w:val="auto"/>
          <w:sz w:val="28"/>
        </w:rPr>
        <w:t>采购需求</w:t>
      </w:r>
      <w:r>
        <w:tab/>
      </w:r>
      <w:r>
        <w:fldChar w:fldCharType="begin"/>
      </w:r>
      <w:r>
        <w:instrText xml:space="preserve"> PAGEREF _Toc157175690 \h </w:instrText>
      </w:r>
      <w:r>
        <w:fldChar w:fldCharType="separate"/>
      </w:r>
      <w:r>
        <w:t>5</w:t>
      </w:r>
      <w:r>
        <w:fldChar w:fldCharType="end"/>
      </w:r>
      <w:r>
        <w:fldChar w:fldCharType="end"/>
      </w:r>
    </w:p>
    <w:p>
      <w:pPr>
        <w:pStyle w:val="14"/>
        <w:rPr>
          <w:kern w:val="2"/>
        </w:rPr>
      </w:pPr>
      <w:r>
        <w:fldChar w:fldCharType="begin"/>
      </w:r>
      <w:r>
        <w:instrText xml:space="preserve"> HYPERLINK \l "_Toc157175691" </w:instrText>
      </w:r>
      <w:r>
        <w:fldChar w:fldCharType="separate"/>
      </w:r>
      <w:r>
        <w:rPr>
          <w:rStyle w:val="23"/>
          <w:rFonts w:hint="eastAsia"/>
          <w:color w:val="auto"/>
          <w:sz w:val="28"/>
        </w:rPr>
        <w:t>第三章</w:t>
      </w:r>
      <w:r>
        <w:rPr>
          <w:rStyle w:val="23"/>
          <w:color w:val="auto"/>
          <w:sz w:val="28"/>
        </w:rPr>
        <w:t xml:space="preserve"> </w:t>
      </w:r>
      <w:r>
        <w:rPr>
          <w:rStyle w:val="23"/>
          <w:rFonts w:hint="eastAsia"/>
          <w:color w:val="auto"/>
          <w:sz w:val="28"/>
        </w:rPr>
        <w:t>响应方须知</w:t>
      </w:r>
      <w:r>
        <w:tab/>
      </w:r>
      <w:r>
        <w:fldChar w:fldCharType="begin"/>
      </w:r>
      <w:r>
        <w:instrText xml:space="preserve"> PAGEREF _Toc157175691 \h </w:instrText>
      </w:r>
      <w:r>
        <w:fldChar w:fldCharType="separate"/>
      </w:r>
      <w:r>
        <w:t>6</w:t>
      </w:r>
      <w:r>
        <w:fldChar w:fldCharType="end"/>
      </w:r>
      <w:r>
        <w:fldChar w:fldCharType="end"/>
      </w:r>
    </w:p>
    <w:p>
      <w:pPr>
        <w:pStyle w:val="14"/>
        <w:rPr>
          <w:kern w:val="2"/>
        </w:rPr>
      </w:pPr>
      <w:r>
        <w:fldChar w:fldCharType="begin"/>
      </w:r>
      <w:r>
        <w:instrText xml:space="preserve"> HYPERLINK \l "_Toc157175692" </w:instrText>
      </w:r>
      <w:r>
        <w:fldChar w:fldCharType="separate"/>
      </w:r>
      <w:r>
        <w:rPr>
          <w:rStyle w:val="23"/>
          <w:rFonts w:hint="eastAsia"/>
          <w:color w:val="auto"/>
          <w:sz w:val="28"/>
        </w:rPr>
        <w:t>第四章</w:t>
      </w:r>
      <w:r>
        <w:rPr>
          <w:rStyle w:val="23"/>
          <w:color w:val="auto"/>
          <w:sz w:val="28"/>
        </w:rPr>
        <w:t xml:space="preserve"> </w:t>
      </w:r>
      <w:r>
        <w:rPr>
          <w:rStyle w:val="23"/>
          <w:rFonts w:hint="eastAsia"/>
          <w:color w:val="auto"/>
          <w:sz w:val="28"/>
        </w:rPr>
        <w:t>评审办法及标准</w:t>
      </w:r>
      <w:r>
        <w:tab/>
      </w:r>
      <w:r>
        <w:fldChar w:fldCharType="begin"/>
      </w:r>
      <w:r>
        <w:instrText xml:space="preserve"> PAGEREF _Toc157175692 \h </w:instrText>
      </w:r>
      <w:r>
        <w:fldChar w:fldCharType="separate"/>
      </w:r>
      <w:r>
        <w:t>22</w:t>
      </w:r>
      <w:r>
        <w:fldChar w:fldCharType="end"/>
      </w:r>
      <w:r>
        <w:fldChar w:fldCharType="end"/>
      </w:r>
    </w:p>
    <w:p>
      <w:pPr>
        <w:pStyle w:val="14"/>
        <w:rPr>
          <w:kern w:val="2"/>
        </w:rPr>
      </w:pPr>
      <w:r>
        <w:fldChar w:fldCharType="begin"/>
      </w:r>
      <w:r>
        <w:instrText xml:space="preserve"> HYPERLINK \l "_Toc157175693" </w:instrText>
      </w:r>
      <w:r>
        <w:fldChar w:fldCharType="separate"/>
      </w:r>
      <w:r>
        <w:rPr>
          <w:rStyle w:val="23"/>
          <w:rFonts w:hint="eastAsia"/>
          <w:color w:val="auto"/>
          <w:sz w:val="28"/>
        </w:rPr>
        <w:t>第五章</w:t>
      </w:r>
      <w:r>
        <w:rPr>
          <w:rStyle w:val="23"/>
          <w:color w:val="auto"/>
          <w:sz w:val="28"/>
        </w:rPr>
        <w:t xml:space="preserve"> </w:t>
      </w:r>
      <w:r>
        <w:rPr>
          <w:rStyle w:val="23"/>
          <w:rFonts w:hint="eastAsia"/>
          <w:color w:val="auto"/>
          <w:sz w:val="28"/>
        </w:rPr>
        <w:t>拟签订的框架协议文本和采购合同文本</w:t>
      </w:r>
      <w:r>
        <w:tab/>
      </w:r>
      <w:r>
        <w:fldChar w:fldCharType="begin"/>
      </w:r>
      <w:r>
        <w:instrText xml:space="preserve"> PAGEREF _Toc157175693 \h </w:instrText>
      </w:r>
      <w:r>
        <w:fldChar w:fldCharType="separate"/>
      </w:r>
      <w:r>
        <w:t>24</w:t>
      </w:r>
      <w:r>
        <w:fldChar w:fldCharType="end"/>
      </w:r>
      <w:r>
        <w:fldChar w:fldCharType="end"/>
      </w:r>
    </w:p>
    <w:p>
      <w:pPr>
        <w:pStyle w:val="14"/>
        <w:rPr>
          <w:kern w:val="2"/>
        </w:rPr>
      </w:pPr>
      <w:r>
        <w:fldChar w:fldCharType="begin"/>
      </w:r>
      <w:r>
        <w:instrText xml:space="preserve"> HYPERLINK \l "_Toc157175694" </w:instrText>
      </w:r>
      <w:r>
        <w:fldChar w:fldCharType="separate"/>
      </w:r>
      <w:r>
        <w:rPr>
          <w:rStyle w:val="23"/>
          <w:rFonts w:hint="eastAsia"/>
          <w:color w:val="auto"/>
          <w:sz w:val="28"/>
        </w:rPr>
        <w:t>第六章</w:t>
      </w:r>
      <w:r>
        <w:rPr>
          <w:rStyle w:val="23"/>
          <w:color w:val="auto"/>
          <w:sz w:val="28"/>
        </w:rPr>
        <w:t xml:space="preserve"> </w:t>
      </w:r>
      <w:r>
        <w:rPr>
          <w:rStyle w:val="23"/>
          <w:rFonts w:hint="eastAsia"/>
          <w:color w:val="auto"/>
          <w:sz w:val="28"/>
        </w:rPr>
        <w:t>响应文件格式</w:t>
      </w:r>
      <w:r>
        <w:tab/>
      </w:r>
      <w:r>
        <w:fldChar w:fldCharType="begin"/>
      </w:r>
      <w:r>
        <w:instrText xml:space="preserve"> PAGEREF _Toc157175694 \h </w:instrText>
      </w:r>
      <w:r>
        <w:fldChar w:fldCharType="separate"/>
      </w:r>
      <w:r>
        <w:t>33</w:t>
      </w:r>
      <w:r>
        <w:fldChar w:fldCharType="end"/>
      </w:r>
      <w:r>
        <w:fldChar w:fldCharType="end"/>
      </w:r>
    </w:p>
    <w:p>
      <w:pPr>
        <w:ind w:firstLine="720"/>
        <w:rPr>
          <w:rFonts w:ascii="宋体" w:hAnsi="宋体" w:eastAsia="宋体"/>
          <w:b/>
          <w:sz w:val="36"/>
          <w:szCs w:val="36"/>
        </w:rPr>
        <w:sectPr>
          <w:headerReference r:id="rId4" w:type="default"/>
          <w:footerReference r:id="rId5" w:type="default"/>
          <w:pgSz w:w="11906" w:h="16838"/>
          <w:pgMar w:top="1440" w:right="1800" w:bottom="1440" w:left="1800" w:header="851" w:footer="992" w:gutter="0"/>
          <w:cols w:space="425" w:num="1"/>
          <w:docGrid w:type="lines" w:linePitch="312" w:charSpace="0"/>
        </w:sectPr>
      </w:pPr>
      <w:r>
        <w:rPr>
          <w:rFonts w:ascii="宋体" w:hAnsi="宋体" w:eastAsia="宋体"/>
          <w:b/>
          <w:sz w:val="36"/>
          <w:szCs w:val="36"/>
        </w:rPr>
        <w:fldChar w:fldCharType="end"/>
      </w:r>
    </w:p>
    <w:p>
      <w:pPr>
        <w:pStyle w:val="2"/>
      </w:pPr>
      <w:bookmarkStart w:id="0" w:name="_Toc157175689"/>
      <w:r>
        <w:rPr>
          <w:rFonts w:hint="eastAsia"/>
        </w:rPr>
        <w:t>第一章 征集公告</w:t>
      </w:r>
      <w:bookmarkEnd w:id="0"/>
    </w:p>
    <w:p>
      <w:pPr>
        <w:spacing w:before="240" w:line="360" w:lineRule="auto"/>
        <w:ind w:firstLine="482"/>
        <w:jc w:val="left"/>
        <w:rPr>
          <w:rFonts w:ascii="宋体" w:hAnsi="宋体"/>
          <w:sz w:val="24"/>
        </w:rPr>
      </w:pPr>
      <w:r>
        <w:rPr>
          <w:rFonts w:hint="eastAsia" w:ascii="宋体" w:hAnsi="宋体"/>
          <w:sz w:val="24"/>
        </w:rPr>
        <w:t>根据</w:t>
      </w:r>
      <w:r>
        <w:rPr>
          <w:rFonts w:hint="eastAsia" w:ascii="宋体" w:hAnsi="宋体"/>
          <w:sz w:val="24"/>
          <w:u w:val="single"/>
        </w:rPr>
        <w:t>《中华人民共和国政府采购法》《中华人民共和国政府采购法实施条例》《政府采购框架协议采购方式管理暂行办法》《政府采购货物和服务招标投标管理办法》《浙江省政府采购项目电子交易管理暂行办法》</w:t>
      </w:r>
      <w:r>
        <w:rPr>
          <w:rFonts w:hint="eastAsia" w:ascii="宋体" w:hAnsi="宋体"/>
          <w:sz w:val="24"/>
        </w:rPr>
        <w:t>等规定，现就</w:t>
      </w:r>
      <w:r>
        <w:rPr>
          <w:rFonts w:hint="eastAsia" w:ascii="宋体" w:hAnsi="宋体"/>
          <w:b/>
          <w:sz w:val="24"/>
          <w:u w:val="single"/>
        </w:rPr>
        <w:t>2024-2026年度浦江县政府投资项目审核服务第三方机构封闭式框架协议</w:t>
      </w:r>
      <w:r>
        <w:rPr>
          <w:rFonts w:hint="eastAsia" w:ascii="宋体" w:hAnsi="宋体"/>
          <w:b/>
          <w:sz w:val="24"/>
        </w:rPr>
        <w:t>项目</w:t>
      </w:r>
      <w:r>
        <w:rPr>
          <w:rFonts w:ascii="宋体" w:hAnsi="宋体"/>
          <w:sz w:val="24"/>
        </w:rPr>
        <w:t>进行</w:t>
      </w:r>
      <w:r>
        <w:rPr>
          <w:rFonts w:hint="eastAsia" w:ascii="宋体" w:hAnsi="宋体"/>
          <w:sz w:val="24"/>
        </w:rPr>
        <w:t>框架协议</w:t>
      </w:r>
      <w:r>
        <w:rPr>
          <w:rFonts w:ascii="宋体" w:hAnsi="宋体"/>
          <w:sz w:val="24"/>
        </w:rPr>
        <w:t>采购，</w:t>
      </w:r>
      <w:r>
        <w:rPr>
          <w:rFonts w:hint="eastAsia" w:ascii="宋体" w:hAnsi="宋体"/>
          <w:sz w:val="24"/>
        </w:rPr>
        <w:t>欢迎国内合格的供应商前来响应。</w:t>
      </w:r>
    </w:p>
    <w:p>
      <w:pPr>
        <w:pStyle w:val="3"/>
        <w:spacing w:before="0" w:after="0" w:line="360" w:lineRule="auto"/>
        <w:ind w:firstLine="371" w:firstLineChars="132"/>
        <w:rPr>
          <w:sz w:val="28"/>
        </w:rPr>
      </w:pPr>
      <w:r>
        <w:rPr>
          <w:rFonts w:hint="eastAsia"/>
          <w:sz w:val="28"/>
        </w:rPr>
        <w:t>一、采购项目信息</w:t>
      </w:r>
    </w:p>
    <w:p>
      <w:pPr>
        <w:spacing w:line="360" w:lineRule="auto"/>
        <w:ind w:firstLine="482"/>
        <w:jc w:val="left"/>
        <w:rPr>
          <w:rFonts w:ascii="宋体" w:hAnsi="宋体" w:eastAsia="宋体"/>
          <w:sz w:val="24"/>
          <w:szCs w:val="24"/>
        </w:rPr>
      </w:pPr>
      <w:r>
        <w:rPr>
          <w:rFonts w:hint="eastAsia" w:ascii="宋体" w:hAnsi="宋体" w:eastAsia="宋体"/>
          <w:sz w:val="24"/>
          <w:szCs w:val="24"/>
        </w:rPr>
        <w:t>1.项目名称：2024-2026年度浦江县政府投资项目审核服务第三方机构封闭式框架协议采购</w:t>
      </w:r>
    </w:p>
    <w:p>
      <w:pPr>
        <w:spacing w:line="360" w:lineRule="auto"/>
        <w:ind w:firstLine="482"/>
        <w:jc w:val="left"/>
        <w:rPr>
          <w:rFonts w:ascii="宋体" w:hAnsi="宋体" w:eastAsia="宋体"/>
          <w:sz w:val="24"/>
          <w:szCs w:val="24"/>
        </w:rPr>
      </w:pPr>
      <w:r>
        <w:rPr>
          <w:rFonts w:hint="eastAsia" w:ascii="宋体" w:hAnsi="宋体" w:eastAsia="宋体"/>
          <w:sz w:val="24"/>
          <w:szCs w:val="24"/>
        </w:rPr>
        <w:t>2.项目编号：ZPKJ2024-001</w:t>
      </w:r>
    </w:p>
    <w:p>
      <w:pPr>
        <w:spacing w:line="360" w:lineRule="auto"/>
        <w:ind w:firstLine="482"/>
        <w:jc w:val="left"/>
        <w:rPr>
          <w:rFonts w:ascii="宋体" w:hAnsi="宋体" w:eastAsia="宋体"/>
          <w:sz w:val="24"/>
          <w:szCs w:val="24"/>
        </w:rPr>
      </w:pPr>
      <w:r>
        <w:rPr>
          <w:rFonts w:hint="eastAsia" w:ascii="宋体" w:hAnsi="宋体" w:eastAsia="宋体"/>
          <w:sz w:val="24"/>
          <w:szCs w:val="24"/>
        </w:rPr>
        <w:t>3.采购方式：封闭式框架协议</w:t>
      </w:r>
    </w:p>
    <w:p>
      <w:pPr>
        <w:spacing w:line="360" w:lineRule="auto"/>
        <w:ind w:firstLine="482"/>
        <w:jc w:val="left"/>
        <w:rPr>
          <w:rFonts w:ascii="宋体" w:hAnsi="宋体" w:eastAsia="宋体"/>
          <w:sz w:val="24"/>
          <w:szCs w:val="24"/>
        </w:rPr>
      </w:pPr>
      <w:r>
        <w:rPr>
          <w:rFonts w:hint="eastAsia" w:ascii="宋体" w:hAnsi="宋体" w:eastAsia="宋体"/>
          <w:sz w:val="24"/>
          <w:szCs w:val="24"/>
        </w:rPr>
        <w:t>4.适用采购或者服务对象范围：浦江县财政项目预算审核中心。</w:t>
      </w:r>
    </w:p>
    <w:p>
      <w:pPr>
        <w:spacing w:line="360" w:lineRule="auto"/>
        <w:ind w:firstLine="482"/>
        <w:jc w:val="left"/>
        <w:rPr>
          <w:rFonts w:ascii="宋体" w:hAnsi="宋体" w:eastAsia="宋体"/>
          <w:sz w:val="24"/>
          <w:szCs w:val="24"/>
        </w:rPr>
      </w:pPr>
      <w:r>
        <w:rPr>
          <w:rFonts w:hint="eastAsia" w:ascii="宋体" w:hAnsi="宋体" w:eastAsia="宋体"/>
          <w:sz w:val="24"/>
          <w:szCs w:val="24"/>
        </w:rPr>
        <w:t>5.框架协议的期限：2年（2024年5月1日—2026年4月30日）</w:t>
      </w:r>
    </w:p>
    <w:p>
      <w:pPr>
        <w:spacing w:line="360" w:lineRule="auto"/>
        <w:ind w:firstLine="482"/>
        <w:jc w:val="left"/>
        <w:rPr>
          <w:rFonts w:ascii="宋体" w:hAnsi="宋体" w:eastAsia="宋体"/>
          <w:sz w:val="24"/>
          <w:szCs w:val="24"/>
        </w:rPr>
      </w:pPr>
      <w:r>
        <w:rPr>
          <w:rFonts w:hint="eastAsia" w:ascii="宋体" w:hAnsi="宋体" w:eastAsia="宋体"/>
          <w:sz w:val="24"/>
          <w:szCs w:val="24"/>
        </w:rPr>
        <w:t>6.采购内容及数量：对政府投资项目的概（预）算、结算及抽查审核服务等。本次采购数量根据征集文件规定的淘汰率 20 %确定，入围至多30家。</w:t>
      </w:r>
    </w:p>
    <w:p>
      <w:pPr>
        <w:pStyle w:val="3"/>
        <w:spacing w:before="0" w:after="0" w:line="360" w:lineRule="auto"/>
        <w:ind w:firstLine="371" w:firstLineChars="132"/>
        <w:rPr>
          <w:sz w:val="28"/>
        </w:rPr>
      </w:pPr>
      <w:r>
        <w:rPr>
          <w:rFonts w:hint="eastAsia"/>
          <w:sz w:val="28"/>
        </w:rPr>
        <w:t>二、合格响应方的资格要求</w:t>
      </w:r>
    </w:p>
    <w:p>
      <w:pPr>
        <w:spacing w:line="360" w:lineRule="auto"/>
        <w:ind w:firstLine="482"/>
        <w:jc w:val="left"/>
        <w:rPr>
          <w:rFonts w:ascii="宋体" w:hAnsi="宋体" w:eastAsia="宋体"/>
          <w:sz w:val="24"/>
          <w:szCs w:val="24"/>
        </w:rPr>
      </w:pPr>
      <w:r>
        <w:rPr>
          <w:rFonts w:hint="eastAsia" w:ascii="宋体" w:hAnsi="宋体" w:eastAsia="宋体"/>
          <w:sz w:val="24"/>
          <w:szCs w:val="24"/>
        </w:rPr>
        <w:t>1.满足《中华人民共和国政府采购法》第二十二条规定；</w:t>
      </w:r>
    </w:p>
    <w:p>
      <w:pPr>
        <w:spacing w:line="360" w:lineRule="auto"/>
        <w:ind w:firstLine="482"/>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根据财库[2016]125号文件，通过“信用中国”网站（www.creditchina.gov.cn）、中国政府采购网（www.ccgp.gov.cn）</w:t>
      </w:r>
      <w:r>
        <w:rPr>
          <w:rFonts w:hint="eastAsia" w:ascii="宋体" w:hAnsi="宋体" w:eastAsia="宋体"/>
          <w:sz w:val="24"/>
          <w:szCs w:val="24"/>
        </w:rPr>
        <w:t>对投标供应商进行查询</w:t>
      </w:r>
      <w:r>
        <w:rPr>
          <w:rFonts w:ascii="宋体" w:hAnsi="宋体" w:eastAsia="宋体"/>
          <w:sz w:val="24"/>
          <w:szCs w:val="24"/>
        </w:rPr>
        <w:t>，对列入失信被执行人、重大税收违法案件当事人名单、政府采购严重违法失信行为记录名单的</w:t>
      </w:r>
      <w:r>
        <w:rPr>
          <w:rFonts w:hint="eastAsia" w:ascii="宋体" w:hAnsi="宋体" w:eastAsia="宋体"/>
          <w:sz w:val="24"/>
          <w:szCs w:val="24"/>
        </w:rPr>
        <w:t>响应供应商</w:t>
      </w:r>
      <w:r>
        <w:rPr>
          <w:rFonts w:ascii="宋体" w:hAnsi="宋体" w:eastAsia="宋体"/>
          <w:sz w:val="24"/>
          <w:szCs w:val="24"/>
        </w:rPr>
        <w:t>，其</w:t>
      </w:r>
      <w:r>
        <w:rPr>
          <w:rFonts w:hint="eastAsia" w:ascii="宋体" w:hAnsi="宋体" w:eastAsia="宋体"/>
          <w:sz w:val="24"/>
          <w:szCs w:val="24"/>
        </w:rPr>
        <w:t>响应</w:t>
      </w:r>
      <w:r>
        <w:rPr>
          <w:rFonts w:ascii="宋体" w:hAnsi="宋体" w:eastAsia="宋体"/>
          <w:sz w:val="24"/>
          <w:szCs w:val="24"/>
        </w:rPr>
        <w:t>将作无效处理</w:t>
      </w:r>
      <w:r>
        <w:rPr>
          <w:rFonts w:hint="eastAsia" w:ascii="宋体" w:hAnsi="宋体" w:eastAsia="宋体"/>
          <w:sz w:val="24"/>
          <w:szCs w:val="24"/>
        </w:rPr>
        <w:t>，具体</w:t>
      </w:r>
      <w:r>
        <w:rPr>
          <w:rFonts w:ascii="宋体" w:hAnsi="宋体" w:eastAsia="宋体"/>
          <w:sz w:val="24"/>
          <w:szCs w:val="24"/>
        </w:rPr>
        <w:t>以</w:t>
      </w:r>
      <w:r>
        <w:rPr>
          <w:rFonts w:hint="eastAsia" w:ascii="宋体" w:hAnsi="宋体" w:eastAsia="宋体"/>
          <w:sz w:val="24"/>
          <w:szCs w:val="24"/>
        </w:rPr>
        <w:t>响应截</w:t>
      </w:r>
      <w:r>
        <w:rPr>
          <w:rFonts w:hint="eastAsia" w:ascii="宋体" w:hAnsi="宋体" w:eastAsia="宋体"/>
          <w:sz w:val="24"/>
          <w:szCs w:val="24"/>
          <w:lang w:eastAsia="zh-CN"/>
        </w:rPr>
        <w:t>止</w:t>
      </w:r>
      <w:bookmarkStart w:id="13" w:name="_GoBack"/>
      <w:bookmarkEnd w:id="13"/>
      <w:r>
        <w:rPr>
          <w:rFonts w:ascii="宋体" w:hAnsi="宋体" w:eastAsia="宋体"/>
          <w:sz w:val="24"/>
          <w:szCs w:val="24"/>
        </w:rPr>
        <w:t>当日网页查询记录为准</w:t>
      </w:r>
      <w:r>
        <w:rPr>
          <w:rFonts w:hint="eastAsia" w:ascii="宋体" w:hAnsi="宋体" w:eastAsia="宋体"/>
          <w:sz w:val="24"/>
          <w:szCs w:val="24"/>
        </w:rPr>
        <w:t>；</w:t>
      </w:r>
    </w:p>
    <w:p>
      <w:pPr>
        <w:spacing w:line="360" w:lineRule="auto"/>
        <w:ind w:firstLine="482"/>
        <w:jc w:val="left"/>
        <w:rPr>
          <w:rFonts w:ascii="宋体" w:hAnsi="宋体" w:eastAsia="宋体"/>
          <w:sz w:val="24"/>
          <w:szCs w:val="24"/>
        </w:rPr>
      </w:pPr>
      <w:r>
        <w:rPr>
          <w:rFonts w:hint="eastAsia" w:ascii="宋体" w:hAnsi="宋体" w:eastAsia="宋体"/>
          <w:sz w:val="24"/>
          <w:szCs w:val="24"/>
        </w:rPr>
        <w:t>3.特定资格要求：/</w:t>
      </w:r>
    </w:p>
    <w:p>
      <w:pPr>
        <w:spacing w:line="360" w:lineRule="auto"/>
        <w:ind w:firstLine="482"/>
        <w:jc w:val="left"/>
        <w:rPr>
          <w:rFonts w:ascii="宋体" w:hAnsi="宋体" w:eastAsia="宋体"/>
          <w:sz w:val="24"/>
          <w:szCs w:val="24"/>
        </w:rPr>
      </w:pPr>
      <w:r>
        <w:rPr>
          <w:rFonts w:hint="eastAsia" w:ascii="宋体" w:hAnsi="宋体" w:eastAsia="宋体"/>
          <w:sz w:val="24"/>
          <w:szCs w:val="24"/>
        </w:rPr>
        <w:t>4.本项目（□是/</w:t>
      </w:r>
      <w:r>
        <w:rPr>
          <w:rFonts w:hint="eastAsia" w:ascii="MS Mincho" w:hAnsi="MS Mincho" w:eastAsia="MS Mincho" w:cs="MS Mincho"/>
          <w:sz w:val="24"/>
          <w:szCs w:val="24"/>
        </w:rPr>
        <w:t>☑</w:t>
      </w:r>
      <w:r>
        <w:rPr>
          <w:rFonts w:hint="eastAsia" w:ascii="宋体" w:hAnsi="宋体" w:eastAsia="宋体"/>
          <w:sz w:val="24"/>
          <w:szCs w:val="24"/>
        </w:rPr>
        <w:t>否）专门面向中小企业，谢绝联合体参加；</w:t>
      </w:r>
    </w:p>
    <w:p>
      <w:pPr>
        <w:spacing w:line="360" w:lineRule="auto"/>
        <w:ind w:firstLine="482"/>
        <w:jc w:val="left"/>
        <w:rPr>
          <w:rFonts w:ascii="宋体" w:hAnsi="宋体" w:eastAsia="宋体"/>
          <w:sz w:val="24"/>
          <w:szCs w:val="24"/>
        </w:rPr>
      </w:pPr>
      <w:r>
        <w:rPr>
          <w:rFonts w:hint="eastAsia" w:ascii="宋体" w:hAnsi="宋体" w:eastAsia="宋体"/>
          <w:sz w:val="24"/>
          <w:szCs w:val="24"/>
        </w:rPr>
        <w:t>5.单位负责人为同一人或者存在直接控股、管理关系的不同供应商，不得参加同一合同项下的政府采购活动；</w:t>
      </w:r>
    </w:p>
    <w:p>
      <w:pPr>
        <w:spacing w:line="360" w:lineRule="auto"/>
        <w:ind w:firstLine="482"/>
        <w:jc w:val="left"/>
        <w:rPr>
          <w:rFonts w:ascii="宋体" w:hAnsi="宋体" w:eastAsia="宋体"/>
          <w:sz w:val="24"/>
          <w:szCs w:val="24"/>
        </w:rPr>
      </w:pPr>
      <w:r>
        <w:rPr>
          <w:rFonts w:hint="eastAsia" w:ascii="宋体" w:hAnsi="宋体" w:eastAsia="宋体"/>
          <w:sz w:val="24"/>
          <w:szCs w:val="24"/>
        </w:rPr>
        <w:t>6. 本项目不得以分公司或分支机构名义响应。</w:t>
      </w:r>
    </w:p>
    <w:p>
      <w:pPr>
        <w:pStyle w:val="3"/>
        <w:spacing w:before="0" w:after="0" w:line="360" w:lineRule="auto"/>
        <w:ind w:firstLine="371" w:firstLineChars="132"/>
        <w:rPr>
          <w:sz w:val="28"/>
        </w:rPr>
      </w:pPr>
      <w:r>
        <w:rPr>
          <w:rFonts w:hint="eastAsia"/>
          <w:sz w:val="28"/>
        </w:rPr>
        <w:t>三、获取征集文件时间、地点和方式</w:t>
      </w:r>
    </w:p>
    <w:p>
      <w:pPr>
        <w:spacing w:line="360" w:lineRule="auto"/>
        <w:ind w:firstLine="482"/>
        <w:jc w:val="left"/>
        <w:rPr>
          <w:rFonts w:ascii="宋体" w:hAnsi="宋体" w:eastAsia="宋体"/>
          <w:sz w:val="24"/>
          <w:szCs w:val="24"/>
        </w:rPr>
      </w:pPr>
      <w:r>
        <w:rPr>
          <w:rFonts w:hint="eastAsia" w:ascii="宋体" w:hAnsi="宋体" w:eastAsia="宋体"/>
          <w:sz w:val="24"/>
          <w:szCs w:val="24"/>
        </w:rPr>
        <w:t>1.获取时间：响应截止时间前</w:t>
      </w:r>
    </w:p>
    <w:p>
      <w:pPr>
        <w:spacing w:line="360" w:lineRule="auto"/>
        <w:ind w:firstLine="482"/>
        <w:jc w:val="left"/>
        <w:rPr>
          <w:rFonts w:ascii="宋体" w:hAnsi="Courier New" w:cs="宋体"/>
          <w:sz w:val="24"/>
          <w:szCs w:val="24"/>
        </w:rPr>
      </w:pPr>
      <w:r>
        <w:rPr>
          <w:rFonts w:hint="eastAsia" w:ascii="宋体" w:hAnsi="宋体" w:eastAsia="宋体"/>
          <w:sz w:val="24"/>
          <w:szCs w:val="24"/>
        </w:rPr>
        <w:t>2.获取方</w:t>
      </w:r>
      <w:r>
        <w:rPr>
          <w:rFonts w:hint="eastAsia" w:ascii="宋体" w:hAnsi="Courier New" w:cs="宋体"/>
          <w:sz w:val="24"/>
          <w:szCs w:val="24"/>
        </w:rPr>
        <w:t>式：供应商登录政采云平台https://www.zcygov.cn/在线申请获取采购文件（进入“项目采购”应用，在获取采购文件菜单中选择项目，申请获取采购文件）</w:t>
      </w:r>
    </w:p>
    <w:p>
      <w:pPr>
        <w:spacing w:line="360" w:lineRule="auto"/>
        <w:ind w:firstLine="482"/>
        <w:jc w:val="left"/>
        <w:rPr>
          <w:rFonts w:ascii="宋体" w:hAnsi="宋体" w:eastAsia="宋体"/>
          <w:sz w:val="24"/>
          <w:szCs w:val="24"/>
        </w:rPr>
      </w:pPr>
      <w:r>
        <w:rPr>
          <w:rFonts w:hint="eastAsia" w:ascii="宋体" w:hAnsi="Courier New" w:cs="宋体"/>
          <w:sz w:val="24"/>
          <w:szCs w:val="24"/>
        </w:rPr>
        <w:t>3.获取征集文件时须提交的文件资</w:t>
      </w:r>
      <w:r>
        <w:rPr>
          <w:rFonts w:hint="eastAsia" w:ascii="宋体" w:hAnsi="宋体" w:eastAsia="宋体"/>
          <w:sz w:val="24"/>
          <w:szCs w:val="24"/>
        </w:rPr>
        <w:t>料：无</w:t>
      </w:r>
    </w:p>
    <w:p>
      <w:pPr>
        <w:spacing w:line="360" w:lineRule="auto"/>
        <w:ind w:firstLine="482"/>
        <w:jc w:val="left"/>
        <w:rPr>
          <w:rFonts w:ascii="宋体" w:hAnsi="宋体" w:eastAsia="宋体"/>
          <w:sz w:val="24"/>
          <w:szCs w:val="24"/>
        </w:rPr>
      </w:pPr>
      <w:r>
        <w:rPr>
          <w:rFonts w:hint="eastAsia" w:ascii="宋体" w:hAnsi="宋体" w:eastAsia="宋体"/>
          <w:sz w:val="24"/>
          <w:szCs w:val="24"/>
        </w:rPr>
        <w:t>4.提醒：</w:t>
      </w:r>
      <w:r>
        <w:rPr>
          <w:rFonts w:hint="eastAsia" w:ascii="宋体" w:hAnsi="Courier New" w:cs="宋体"/>
          <w:sz w:val="24"/>
          <w:szCs w:val="24"/>
        </w:rPr>
        <w:t>在浙江政府采购网征集公告附件中以“游客”身份获取的征集文件仅供阅览使用，供应商只有在“政府采购云平台”完成获取征集文件申请并下载了征集文件后才视作依法获取征集文件。</w:t>
      </w:r>
    </w:p>
    <w:p>
      <w:pPr>
        <w:spacing w:line="360" w:lineRule="auto"/>
        <w:ind w:firstLine="482"/>
        <w:jc w:val="left"/>
        <w:rPr>
          <w:rFonts w:ascii="宋体" w:hAnsi="宋体" w:eastAsia="宋体"/>
          <w:sz w:val="24"/>
          <w:szCs w:val="24"/>
        </w:rPr>
      </w:pPr>
      <w:r>
        <w:rPr>
          <w:rFonts w:hint="eastAsia" w:ascii="宋体" w:hAnsi="宋体" w:eastAsia="宋体"/>
          <w:sz w:val="24"/>
          <w:szCs w:val="24"/>
        </w:rPr>
        <w:t>注：</w:t>
      </w:r>
      <w:r>
        <w:rPr>
          <w:rFonts w:hint="eastAsia" w:ascii="宋体" w:hAnsi="Courier New" w:cs="宋体"/>
          <w:sz w:val="24"/>
          <w:szCs w:val="24"/>
        </w:rPr>
        <w:t>请各响应方按上述要求获取征集文件，如未在“政采云”系统内完成相关流程，引起的征集响应无效责任自负。</w:t>
      </w:r>
    </w:p>
    <w:p>
      <w:pPr>
        <w:pStyle w:val="3"/>
        <w:spacing w:before="0" w:after="0" w:line="360" w:lineRule="auto"/>
        <w:ind w:firstLine="371" w:firstLineChars="132"/>
        <w:rPr>
          <w:sz w:val="28"/>
        </w:rPr>
      </w:pPr>
      <w:r>
        <w:rPr>
          <w:rFonts w:hint="eastAsia"/>
          <w:sz w:val="28"/>
        </w:rPr>
        <w:t>四、保证金</w:t>
      </w:r>
    </w:p>
    <w:p>
      <w:pPr>
        <w:spacing w:line="360" w:lineRule="auto"/>
        <w:ind w:firstLine="424" w:firstLineChars="177"/>
        <w:rPr>
          <w:rFonts w:ascii="宋体" w:hAnsi="Courier New" w:cs="宋体"/>
          <w:sz w:val="24"/>
          <w:szCs w:val="24"/>
        </w:rPr>
      </w:pPr>
      <w:r>
        <w:rPr>
          <w:rFonts w:hint="eastAsia" w:ascii="宋体" w:hAnsi="Courier New" w:cs="宋体"/>
          <w:sz w:val="24"/>
          <w:szCs w:val="24"/>
        </w:rPr>
        <w:t>本项目不收取响应（投标）保证金。</w:t>
      </w:r>
    </w:p>
    <w:p>
      <w:pPr>
        <w:spacing w:line="360" w:lineRule="auto"/>
        <w:ind w:firstLine="424" w:firstLineChars="177"/>
        <w:rPr>
          <w:rFonts w:ascii="宋体" w:hAnsi="Courier New" w:cs="宋体"/>
          <w:sz w:val="24"/>
          <w:szCs w:val="24"/>
        </w:rPr>
      </w:pPr>
      <w:r>
        <w:rPr>
          <w:rFonts w:hint="eastAsia" w:ascii="宋体" w:hAnsi="Courier New" w:cs="宋体"/>
          <w:sz w:val="24"/>
          <w:szCs w:val="24"/>
        </w:rPr>
        <w:t>本项目不收取履约保证金。</w:t>
      </w:r>
    </w:p>
    <w:p>
      <w:pPr>
        <w:pStyle w:val="3"/>
        <w:spacing w:before="0" w:after="0" w:line="360" w:lineRule="auto"/>
        <w:ind w:firstLine="371" w:firstLineChars="132"/>
        <w:rPr>
          <w:sz w:val="28"/>
        </w:rPr>
      </w:pPr>
      <w:r>
        <w:rPr>
          <w:rFonts w:hint="eastAsia"/>
          <w:sz w:val="28"/>
        </w:rPr>
        <w:t>五、响应截止时间和地点</w:t>
      </w:r>
    </w:p>
    <w:p>
      <w:pPr>
        <w:spacing w:line="360" w:lineRule="auto"/>
        <w:ind w:firstLine="482"/>
        <w:jc w:val="left"/>
        <w:rPr>
          <w:rFonts w:ascii="宋体" w:hAnsi="Courier New" w:cs="宋体"/>
          <w:sz w:val="24"/>
          <w:szCs w:val="24"/>
        </w:rPr>
      </w:pPr>
      <w:r>
        <w:rPr>
          <w:rFonts w:hint="eastAsia" w:ascii="宋体" w:hAnsi="Courier New" w:cs="宋体"/>
          <w:sz w:val="24"/>
          <w:szCs w:val="24"/>
        </w:rPr>
        <w:t>1.提交截止时间：</w:t>
      </w:r>
      <w:r>
        <w:rPr>
          <w:rFonts w:hint="eastAsia" w:ascii="宋体" w:hAnsi="Courier New" w:cs="宋体"/>
          <w:sz w:val="24"/>
          <w:szCs w:val="24"/>
          <w:u w:val="single"/>
        </w:rPr>
        <w:t>2024年4月24日09：30</w:t>
      </w:r>
      <w:r>
        <w:rPr>
          <w:rFonts w:hint="eastAsia" w:ascii="宋体" w:hAnsi="Courier New" w:cs="宋体"/>
          <w:sz w:val="24"/>
          <w:szCs w:val="24"/>
        </w:rPr>
        <w:t>（北京时间）</w:t>
      </w:r>
    </w:p>
    <w:p>
      <w:pPr>
        <w:spacing w:line="360" w:lineRule="auto"/>
        <w:ind w:firstLine="482"/>
        <w:jc w:val="left"/>
        <w:rPr>
          <w:rFonts w:ascii="宋体" w:hAnsi="Courier New" w:cs="宋体"/>
          <w:sz w:val="24"/>
          <w:szCs w:val="24"/>
        </w:rPr>
      </w:pPr>
      <w:r>
        <w:rPr>
          <w:rFonts w:hint="eastAsia" w:ascii="宋体" w:hAnsi="宋体" w:eastAsia="宋体"/>
          <w:sz w:val="24"/>
          <w:szCs w:val="24"/>
        </w:rPr>
        <w:t>2.响应文件提交地点（网址）</w:t>
      </w:r>
      <w:r>
        <w:rPr>
          <w:rFonts w:hint="eastAsia" w:ascii="宋体" w:hAnsi="Courier New" w:cs="宋体"/>
          <w:sz w:val="24"/>
          <w:szCs w:val="24"/>
        </w:rPr>
        <w:t>：请登录政采云投标客户端提交响应</w:t>
      </w:r>
    </w:p>
    <w:p>
      <w:pPr>
        <w:pStyle w:val="10"/>
      </w:pPr>
      <w:r>
        <w:rPr>
          <w:rFonts w:hint="eastAsia"/>
        </w:rPr>
        <w:t>3.本项目实行电子化采购。响应文件应按照本项目征集文件和电子交易平台的要求编制、加密，并应当在提交截止时间前在规定电子交易平台完成传输递交，提交截止时间后上传的响应文件，将被电子交易平台拒收。</w:t>
      </w:r>
    </w:p>
    <w:p>
      <w:pPr>
        <w:pStyle w:val="10"/>
      </w:pPr>
      <w:r>
        <w:rPr>
          <w:rFonts w:hint="eastAsia"/>
        </w:rPr>
        <w:t>4.响应方如提供备份响应文件，应采用数据电文形式，以U盘或DVD光盘形式存储，并在响应提交截止时间前，密封递交至金华市公共资源交易中心浦江县分中心三楼开标室（联系人陈女士，联系电话：0579-88088931），逾期送达或未密封将被拒收。响应方仅提供备份响应文件响应的，响应无效。</w:t>
      </w:r>
    </w:p>
    <w:p>
      <w:pPr>
        <w:pStyle w:val="10"/>
      </w:pPr>
      <w:r>
        <w:rPr>
          <w:rFonts w:hint="eastAsia"/>
        </w:rPr>
        <w:t>5.本项目拒绝接受纸质响应文件。</w:t>
      </w:r>
    </w:p>
    <w:p>
      <w:pPr>
        <w:pStyle w:val="3"/>
        <w:spacing w:before="0" w:after="0" w:line="360" w:lineRule="auto"/>
        <w:ind w:firstLine="371" w:firstLineChars="132"/>
        <w:rPr>
          <w:sz w:val="28"/>
        </w:rPr>
      </w:pPr>
      <w:r>
        <w:rPr>
          <w:rFonts w:hint="eastAsia"/>
          <w:sz w:val="28"/>
        </w:rPr>
        <w:t>六、响应文件开启时间和地点、开启方式：</w:t>
      </w:r>
    </w:p>
    <w:p>
      <w:pPr>
        <w:spacing w:line="360" w:lineRule="auto"/>
        <w:ind w:firstLine="482"/>
        <w:jc w:val="left"/>
        <w:rPr>
          <w:rFonts w:ascii="宋体" w:hAnsi="宋体" w:eastAsia="宋体"/>
          <w:sz w:val="24"/>
          <w:szCs w:val="24"/>
        </w:rPr>
      </w:pPr>
      <w:r>
        <w:rPr>
          <w:rFonts w:hint="eastAsia" w:ascii="宋体" w:hAnsi="宋体" w:eastAsia="宋体"/>
          <w:sz w:val="24"/>
          <w:szCs w:val="24"/>
        </w:rPr>
        <w:t>1.响应文件开启时间：</w:t>
      </w:r>
      <w:r>
        <w:rPr>
          <w:rFonts w:hint="eastAsia" w:ascii="宋体" w:hAnsi="Courier New" w:cs="宋体"/>
          <w:sz w:val="24"/>
          <w:szCs w:val="24"/>
          <w:u w:val="single"/>
        </w:rPr>
        <w:t>2024年4月24日09：30</w:t>
      </w:r>
      <w:r>
        <w:rPr>
          <w:rFonts w:hint="eastAsia" w:ascii="宋体" w:hAnsi="宋体" w:eastAsia="宋体"/>
          <w:sz w:val="24"/>
          <w:szCs w:val="24"/>
        </w:rPr>
        <w:t>（北京时间）</w:t>
      </w:r>
    </w:p>
    <w:p>
      <w:pPr>
        <w:snapToGrid w:val="0"/>
        <w:spacing w:line="480" w:lineRule="exact"/>
        <w:ind w:right="218" w:rightChars="104" w:firstLine="480" w:firstLineChars="200"/>
        <w:rPr>
          <w:rFonts w:ascii="宋体" w:hAnsi="Courier New" w:cs="宋体"/>
          <w:sz w:val="24"/>
          <w:szCs w:val="24"/>
        </w:rPr>
      </w:pPr>
      <w:r>
        <w:rPr>
          <w:rFonts w:hint="eastAsia" w:ascii="宋体" w:hAnsi="宋体" w:eastAsia="宋体"/>
          <w:sz w:val="24"/>
          <w:szCs w:val="24"/>
        </w:rPr>
        <w:t>2.响应文件提交地点</w:t>
      </w:r>
      <w:r>
        <w:rPr>
          <w:rFonts w:hint="eastAsia" w:ascii="宋体" w:hAnsi="Courier New" w:cs="宋体"/>
          <w:sz w:val="24"/>
          <w:szCs w:val="24"/>
        </w:rPr>
        <w:t>：</w:t>
      </w:r>
      <w:r>
        <w:rPr>
          <w:rFonts w:hint="eastAsia" w:ascii="宋体" w:hAnsi="宋体" w:cs="Arial"/>
          <w:bCs/>
          <w:sz w:val="24"/>
        </w:rPr>
        <w:t>金华市公共资源交易中心浦江县分中心三楼开标室</w:t>
      </w:r>
    </w:p>
    <w:p>
      <w:pPr>
        <w:spacing w:line="360" w:lineRule="auto"/>
        <w:ind w:firstLine="482"/>
        <w:jc w:val="left"/>
        <w:rPr>
          <w:rFonts w:ascii="宋体" w:hAnsi="宋体" w:cs="Arial"/>
          <w:bCs/>
          <w:sz w:val="24"/>
        </w:rPr>
      </w:pPr>
      <w:r>
        <w:rPr>
          <w:rFonts w:hint="eastAsia" w:ascii="宋体" w:hAnsi="宋体" w:eastAsia="宋体"/>
          <w:sz w:val="24"/>
          <w:szCs w:val="24"/>
        </w:rPr>
        <w:t>3.</w:t>
      </w:r>
      <w:r>
        <w:rPr>
          <w:rFonts w:hint="eastAsia" w:ascii="宋体" w:hAnsi="宋体" w:cs="Arial"/>
          <w:bCs/>
          <w:sz w:val="24"/>
        </w:rPr>
        <w:t>交易中心在征集文件规定的时间通过政府采购云平台组织开标、开启响应文件，所有响应方均应准时在线参加，随时关注征集进度。</w:t>
      </w:r>
    </w:p>
    <w:p>
      <w:pPr>
        <w:spacing w:line="360" w:lineRule="auto"/>
        <w:ind w:firstLine="482"/>
        <w:jc w:val="left"/>
        <w:rPr>
          <w:rFonts w:ascii="宋体" w:hAnsi="宋体" w:cs="Arial"/>
          <w:sz w:val="24"/>
        </w:rPr>
      </w:pPr>
      <w:r>
        <w:rPr>
          <w:rFonts w:hint="eastAsia" w:ascii="宋体" w:hAnsi="宋体" w:cs="Arial"/>
          <w:bCs/>
          <w:sz w:val="24"/>
        </w:rPr>
        <w:t>4.响应文件开启时间后30分钟内，各响应方代表应当自行完成“电子响应文件”的在线解密。若响应方在规定时间内无法解密或解密失败，</w:t>
      </w:r>
      <w:r>
        <w:rPr>
          <w:rFonts w:hint="eastAsia" w:ascii="宋体" w:hAnsi="宋体" w:cs="Arial"/>
          <w:sz w:val="24"/>
        </w:rPr>
        <w:t>响应方提供了备份响应文件的，以备份响应文件作为依据，否则视为响应文件撤回。响应文件已按时解密的，备份响应文件自动失效。</w:t>
      </w:r>
    </w:p>
    <w:p>
      <w:pPr>
        <w:pStyle w:val="3"/>
        <w:spacing w:before="0" w:after="0" w:line="360" w:lineRule="auto"/>
        <w:ind w:firstLine="371" w:firstLineChars="132"/>
        <w:rPr>
          <w:sz w:val="28"/>
        </w:rPr>
      </w:pPr>
      <w:r>
        <w:rPr>
          <w:rFonts w:hint="eastAsia"/>
          <w:sz w:val="28"/>
        </w:rPr>
        <w:t>七、公告期限</w:t>
      </w:r>
    </w:p>
    <w:p>
      <w:pPr>
        <w:spacing w:line="360" w:lineRule="auto"/>
        <w:ind w:firstLine="482"/>
        <w:jc w:val="left"/>
        <w:rPr>
          <w:rFonts w:ascii="宋体" w:hAnsi="宋体" w:cs="Arial"/>
          <w:bCs/>
          <w:sz w:val="24"/>
        </w:rPr>
      </w:pPr>
      <w:r>
        <w:rPr>
          <w:rFonts w:hint="eastAsia" w:ascii="宋体" w:hAnsi="宋体" w:cs="Arial"/>
          <w:bCs/>
          <w:sz w:val="24"/>
        </w:rPr>
        <w:t>自本公告发布之日起5个工作日。</w:t>
      </w:r>
    </w:p>
    <w:p>
      <w:pPr>
        <w:pStyle w:val="3"/>
        <w:spacing w:before="0" w:after="0" w:line="360" w:lineRule="auto"/>
        <w:ind w:firstLine="371" w:firstLineChars="132"/>
        <w:rPr>
          <w:sz w:val="28"/>
        </w:rPr>
      </w:pPr>
      <w:r>
        <w:rPr>
          <w:rFonts w:hint="eastAsia"/>
          <w:sz w:val="28"/>
        </w:rPr>
        <w:t>八、其他</w:t>
      </w:r>
    </w:p>
    <w:p>
      <w:pPr>
        <w:spacing w:line="360" w:lineRule="auto"/>
        <w:ind w:firstLine="482"/>
        <w:jc w:val="left"/>
        <w:rPr>
          <w:rFonts w:ascii="宋体" w:hAnsi="宋体" w:cs="Arial"/>
          <w:bCs/>
          <w:sz w:val="24"/>
        </w:rPr>
      </w:pPr>
      <w:r>
        <w:rPr>
          <w:rFonts w:hint="eastAsia" w:ascii="宋体" w:hAnsi="宋体" w:cs="Arial"/>
          <w:bCs/>
          <w:sz w:val="24"/>
        </w:rPr>
        <w:t>1.供应商认为征集文件使自己的权益受到损害的，可以自收到征集文件之日或者征集公告期限届满之日（</w:t>
      </w:r>
      <w:r>
        <w:rPr>
          <w:rFonts w:ascii="宋体" w:hAnsi="宋体" w:cs="Arial"/>
          <w:bCs/>
          <w:sz w:val="24"/>
        </w:rPr>
        <w:t>公告期限届满后获取</w:t>
      </w:r>
      <w:r>
        <w:rPr>
          <w:rFonts w:hint="eastAsia" w:ascii="宋体" w:hAnsi="宋体" w:cs="Arial"/>
          <w:bCs/>
          <w:sz w:val="24"/>
        </w:rPr>
        <w:t>征集</w:t>
      </w:r>
      <w:r>
        <w:rPr>
          <w:rFonts w:ascii="宋体" w:hAnsi="宋体" w:cs="Arial"/>
          <w:bCs/>
          <w:sz w:val="24"/>
        </w:rPr>
        <w:t>文件的，以公告期限届满之日为准</w:t>
      </w:r>
      <w:r>
        <w:rPr>
          <w:rFonts w:hint="eastAsia" w:ascii="宋体" w:hAnsi="宋体" w:cs="Arial"/>
          <w:bCs/>
          <w:sz w:val="24"/>
        </w:rPr>
        <w:t>）起7个工作日内，</w:t>
      </w:r>
      <w:r>
        <w:rPr>
          <w:rFonts w:ascii="宋体" w:hAnsi="宋体" w:cs="Arial"/>
          <w:bCs/>
          <w:sz w:val="24"/>
        </w:rPr>
        <w:t>对采购文件需求的以书面形式向采购人提出质疑，对其他内容的以书面形式向采购人和采购代理机构提出质疑</w:t>
      </w:r>
      <w:r>
        <w:rPr>
          <w:rFonts w:hint="eastAsia" w:ascii="宋体" w:hAnsi="宋体" w:cs="Arial"/>
          <w:bCs/>
          <w:sz w:val="24"/>
        </w:rPr>
        <w:t>，针对同一采购程序环节的质疑应一次性提出。</w:t>
      </w:r>
      <w:r>
        <w:rPr>
          <w:rFonts w:ascii="宋体" w:hAnsi="宋体" w:cs="Arial"/>
          <w:bCs/>
          <w:sz w:val="24"/>
        </w:rPr>
        <w:t>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jc w:val="left"/>
        <w:rPr>
          <w:rFonts w:ascii="宋体" w:hAnsi="宋体" w:cs="Arial"/>
          <w:bCs/>
          <w:sz w:val="24"/>
        </w:rPr>
      </w:pPr>
      <w:r>
        <w:rPr>
          <w:rFonts w:hint="eastAsia" w:ascii="宋体" w:hAnsi="宋体" w:cs="Arial"/>
          <w:bCs/>
          <w:sz w:val="24"/>
        </w:rPr>
        <w:t>2.响应人应在开标前完成CA数字证书办理以及驱动下载（办理流程详见浙江政府采购官网）。完成CA数字证书办理预计一周左右，建议各响应人抓紧时间办理。</w:t>
      </w:r>
    </w:p>
    <w:p>
      <w:pPr>
        <w:snapToGrid w:val="0"/>
        <w:spacing w:line="276" w:lineRule="auto"/>
        <w:ind w:firstLine="482" w:firstLineChars="200"/>
        <w:rPr>
          <w:rFonts w:ascii="宋体" w:hAnsi="Courier New" w:cs="宋体"/>
          <w:sz w:val="24"/>
          <w:szCs w:val="24"/>
        </w:rPr>
      </w:pPr>
      <w:r>
        <w:rPr>
          <w:rFonts w:hint="eastAsia" w:ascii="宋体" w:hAnsi="宋体"/>
          <w:b/>
          <w:bCs/>
          <w:sz w:val="24"/>
        </w:rPr>
        <w:t>CA问题联系电话（人工）：汇信CA 400-888-4636；天谷CA 400-087-8198。</w:t>
      </w:r>
    </w:p>
    <w:p>
      <w:pPr>
        <w:wordWrap w:val="0"/>
        <w:adjustRightInd w:val="0"/>
        <w:snapToGrid w:val="0"/>
        <w:spacing w:before="120" w:after="120" w:line="500" w:lineRule="exact"/>
        <w:ind w:firstLine="480" w:firstLineChars="200"/>
        <w:rPr>
          <w:rFonts w:ascii="仿宋_GB2312" w:hAnsi="仿宋" w:eastAsia="仿宋_GB2312" w:cs="仿宋_GB2312"/>
          <w:b/>
          <w:bCs/>
          <w:sz w:val="28"/>
          <w:szCs w:val="28"/>
        </w:rPr>
      </w:pPr>
      <w:r>
        <w:rPr>
          <w:rFonts w:hint="eastAsia" w:ascii="宋体" w:hAnsi="Courier New" w:cs="宋体"/>
          <w:sz w:val="24"/>
          <w:szCs w:val="24"/>
        </w:rPr>
        <w:t>3.响应人通过政采云平台电子响应工具制作响应文件，电子响应工具请供应商自行前往浙江省政府采购网下载并安装，（下载网址：http://www.zjzfcg.gov.cn/bidClientTemplate/2019-09-24/12975.html），项目采购电子响应全流程操作指南详见网址：https://help.zcygov.cn/web/site_2/2018/12-28/2573.html。</w:t>
      </w:r>
    </w:p>
    <w:p>
      <w:pPr>
        <w:pStyle w:val="3"/>
        <w:spacing w:before="0" w:after="0" w:line="360" w:lineRule="auto"/>
        <w:ind w:firstLine="371" w:firstLineChars="132"/>
        <w:rPr>
          <w:sz w:val="28"/>
        </w:rPr>
      </w:pPr>
      <w:r>
        <w:rPr>
          <w:rFonts w:hint="eastAsia"/>
          <w:sz w:val="28"/>
        </w:rPr>
        <w:t>九、业务咨询（采购需求的疑问请向征集人（主管预算单位）询问或反映）</w:t>
      </w:r>
    </w:p>
    <w:p>
      <w:pPr>
        <w:spacing w:line="360" w:lineRule="auto"/>
        <w:ind w:firstLine="482"/>
        <w:jc w:val="left"/>
        <w:rPr>
          <w:rFonts w:ascii="宋体" w:hAnsi="宋体" w:eastAsia="宋体"/>
          <w:sz w:val="24"/>
          <w:szCs w:val="24"/>
        </w:rPr>
      </w:pPr>
      <w:r>
        <w:rPr>
          <w:rFonts w:hint="eastAsia" w:ascii="宋体" w:hAnsi="宋体" w:eastAsia="宋体"/>
          <w:sz w:val="24"/>
          <w:szCs w:val="24"/>
        </w:rPr>
        <w:t>1.征集人（主管预算单位）</w:t>
      </w:r>
    </w:p>
    <w:p>
      <w:pPr>
        <w:widowControl/>
        <w:adjustRightInd w:val="0"/>
        <w:snapToGrid w:val="0"/>
        <w:spacing w:line="276" w:lineRule="auto"/>
        <w:ind w:firstLine="840" w:firstLineChars="350"/>
        <w:jc w:val="left"/>
        <w:rPr>
          <w:rFonts w:ascii="宋体" w:hAnsi="宋体"/>
          <w:sz w:val="24"/>
          <w:szCs w:val="20"/>
        </w:rPr>
      </w:pPr>
      <w:r>
        <w:rPr>
          <w:rFonts w:ascii="宋体" w:hAnsi="宋体"/>
          <w:sz w:val="24"/>
          <w:szCs w:val="20"/>
        </w:rPr>
        <w:t>名    称：</w:t>
      </w:r>
      <w:r>
        <w:rPr>
          <w:rFonts w:hint="eastAsia" w:ascii="宋体" w:hAnsi="宋体"/>
          <w:sz w:val="24"/>
          <w:szCs w:val="20"/>
        </w:rPr>
        <w:t>浦江县财政项目预算审核中心 </w:t>
      </w:r>
    </w:p>
    <w:p>
      <w:pPr>
        <w:widowControl/>
        <w:adjustRightInd w:val="0"/>
        <w:snapToGrid w:val="0"/>
        <w:spacing w:line="276" w:lineRule="auto"/>
        <w:ind w:firstLine="840" w:firstLineChars="350"/>
        <w:jc w:val="left"/>
        <w:rPr>
          <w:rFonts w:ascii="宋体" w:hAnsi="宋体"/>
          <w:sz w:val="24"/>
          <w:szCs w:val="20"/>
        </w:rPr>
      </w:pPr>
      <w:r>
        <w:rPr>
          <w:rFonts w:hint="eastAsia" w:ascii="宋体" w:hAnsi="宋体"/>
          <w:sz w:val="24"/>
          <w:szCs w:val="20"/>
        </w:rPr>
        <w:t xml:space="preserve">地    址：浦江县东山路76号 </w:t>
      </w:r>
    </w:p>
    <w:p>
      <w:pPr>
        <w:widowControl/>
        <w:adjustRightInd w:val="0"/>
        <w:snapToGrid w:val="0"/>
        <w:spacing w:line="276" w:lineRule="auto"/>
        <w:ind w:firstLine="840" w:firstLineChars="350"/>
        <w:jc w:val="left"/>
        <w:rPr>
          <w:rFonts w:ascii="宋体" w:hAnsi="宋体"/>
          <w:sz w:val="24"/>
          <w:szCs w:val="20"/>
        </w:rPr>
      </w:pPr>
      <w:r>
        <w:rPr>
          <w:rFonts w:hint="eastAsia" w:ascii="宋体" w:hAnsi="宋体"/>
          <w:sz w:val="24"/>
          <w:szCs w:val="20"/>
        </w:rPr>
        <w:t xml:space="preserve">项目联系人（询问）：虞先生 </w:t>
      </w:r>
    </w:p>
    <w:p>
      <w:pPr>
        <w:widowControl/>
        <w:adjustRightInd w:val="0"/>
        <w:snapToGrid w:val="0"/>
        <w:spacing w:line="276" w:lineRule="auto"/>
        <w:ind w:firstLine="840" w:firstLineChars="350"/>
        <w:jc w:val="left"/>
        <w:rPr>
          <w:rFonts w:ascii="宋体" w:hAnsi="宋体"/>
          <w:sz w:val="24"/>
          <w:szCs w:val="20"/>
        </w:rPr>
      </w:pPr>
      <w:r>
        <w:rPr>
          <w:rFonts w:hint="eastAsia" w:ascii="宋体" w:hAnsi="宋体"/>
          <w:sz w:val="24"/>
          <w:szCs w:val="20"/>
        </w:rPr>
        <w:t>项目联系方式（询问）：0579-84107912</w:t>
      </w:r>
    </w:p>
    <w:p>
      <w:pPr>
        <w:widowControl/>
        <w:adjustRightInd w:val="0"/>
        <w:snapToGrid w:val="0"/>
        <w:spacing w:line="276" w:lineRule="auto"/>
        <w:ind w:firstLine="840" w:firstLineChars="350"/>
        <w:jc w:val="left"/>
        <w:rPr>
          <w:rFonts w:ascii="宋体" w:hAnsi="宋体"/>
          <w:sz w:val="24"/>
          <w:szCs w:val="20"/>
        </w:rPr>
      </w:pPr>
      <w:r>
        <w:rPr>
          <w:rFonts w:hint="eastAsia" w:ascii="宋体" w:hAnsi="宋体"/>
          <w:sz w:val="24"/>
          <w:szCs w:val="20"/>
        </w:rPr>
        <w:t xml:space="preserve">质疑联系人：江女士 </w:t>
      </w:r>
    </w:p>
    <w:p>
      <w:pPr>
        <w:spacing w:line="360" w:lineRule="auto"/>
        <w:ind w:firstLine="482"/>
        <w:jc w:val="left"/>
        <w:rPr>
          <w:rFonts w:ascii="宋体" w:hAnsi="宋体"/>
          <w:sz w:val="24"/>
          <w:szCs w:val="24"/>
        </w:rPr>
      </w:pPr>
      <w:r>
        <w:rPr>
          <w:rFonts w:hint="eastAsia" w:ascii="宋体" w:hAnsi="宋体"/>
          <w:sz w:val="24"/>
          <w:szCs w:val="20"/>
        </w:rPr>
        <w:t xml:space="preserve">   质疑联系方式：0579-84107211</w:t>
      </w:r>
    </w:p>
    <w:p>
      <w:pPr>
        <w:spacing w:line="360" w:lineRule="auto"/>
        <w:ind w:firstLine="482"/>
        <w:jc w:val="left"/>
        <w:rPr>
          <w:rFonts w:ascii="宋体" w:hAnsi="宋体" w:eastAsia="宋体"/>
          <w:sz w:val="24"/>
          <w:szCs w:val="24"/>
        </w:rPr>
      </w:pPr>
      <w:r>
        <w:rPr>
          <w:rFonts w:hint="eastAsia" w:ascii="宋体" w:hAnsi="宋体" w:eastAsia="宋体"/>
          <w:sz w:val="24"/>
          <w:szCs w:val="24"/>
        </w:rPr>
        <w:t>2.征集人（采购代理机构）</w:t>
      </w:r>
    </w:p>
    <w:p>
      <w:pPr>
        <w:widowControl/>
        <w:adjustRightInd w:val="0"/>
        <w:snapToGrid w:val="0"/>
        <w:spacing w:line="276" w:lineRule="auto"/>
        <w:jc w:val="left"/>
        <w:rPr>
          <w:rFonts w:ascii="宋体" w:hAnsi="宋体"/>
          <w:sz w:val="24"/>
          <w:szCs w:val="20"/>
        </w:rPr>
      </w:pPr>
      <w:r>
        <w:rPr>
          <w:rFonts w:hint="eastAsia" w:ascii="宋体" w:hAnsi="宋体"/>
          <w:sz w:val="24"/>
          <w:szCs w:val="20"/>
        </w:rPr>
        <w:t xml:space="preserve">      </w:t>
      </w:r>
      <w:r>
        <w:rPr>
          <w:rFonts w:ascii="宋体" w:hAnsi="宋体"/>
          <w:sz w:val="24"/>
          <w:szCs w:val="20"/>
        </w:rPr>
        <w:t>名    称：</w:t>
      </w:r>
      <w:r>
        <w:rPr>
          <w:rFonts w:hint="eastAsia" w:ascii="宋体" w:hAnsi="宋体"/>
          <w:sz w:val="24"/>
          <w:szCs w:val="20"/>
        </w:rPr>
        <w:t>金华市公共资源交易中心浦江县分中心</w:t>
      </w:r>
    </w:p>
    <w:p>
      <w:pPr>
        <w:widowControl/>
        <w:adjustRightInd w:val="0"/>
        <w:snapToGrid w:val="0"/>
        <w:spacing w:line="276" w:lineRule="auto"/>
        <w:jc w:val="left"/>
        <w:rPr>
          <w:rFonts w:ascii="宋体" w:hAnsi="宋体"/>
          <w:sz w:val="24"/>
          <w:szCs w:val="20"/>
        </w:rPr>
      </w:pPr>
      <w:r>
        <w:rPr>
          <w:rFonts w:ascii="宋体" w:hAnsi="宋体"/>
          <w:sz w:val="24"/>
          <w:szCs w:val="20"/>
        </w:rPr>
        <w:t>    地    址：</w:t>
      </w:r>
      <w:r>
        <w:rPr>
          <w:rFonts w:hint="eastAsia" w:ascii="宋体" w:hAnsi="宋体"/>
          <w:sz w:val="24"/>
          <w:szCs w:val="20"/>
        </w:rPr>
        <w:t>浦江县人民东路83号</w:t>
      </w:r>
      <w:r>
        <w:rPr>
          <w:rFonts w:ascii="宋体" w:hAnsi="宋体"/>
          <w:sz w:val="24"/>
          <w:szCs w:val="20"/>
        </w:rPr>
        <w:t> </w:t>
      </w:r>
    </w:p>
    <w:p>
      <w:pPr>
        <w:widowControl/>
        <w:adjustRightInd w:val="0"/>
        <w:snapToGrid w:val="0"/>
        <w:spacing w:line="276" w:lineRule="auto"/>
        <w:jc w:val="left"/>
        <w:rPr>
          <w:rFonts w:ascii="宋体" w:hAnsi="宋体"/>
          <w:sz w:val="24"/>
          <w:szCs w:val="20"/>
        </w:rPr>
      </w:pPr>
      <w:r>
        <w:rPr>
          <w:rFonts w:ascii="宋体" w:hAnsi="宋体"/>
          <w:sz w:val="24"/>
          <w:szCs w:val="20"/>
        </w:rPr>
        <w:t>    项目联系人（询问）：</w:t>
      </w:r>
      <w:r>
        <w:rPr>
          <w:rFonts w:hint="eastAsia" w:ascii="宋体" w:hAnsi="宋体"/>
          <w:sz w:val="24"/>
          <w:szCs w:val="20"/>
        </w:rPr>
        <w:t>陈女士</w:t>
      </w:r>
    </w:p>
    <w:p>
      <w:pPr>
        <w:widowControl/>
        <w:adjustRightInd w:val="0"/>
        <w:snapToGrid w:val="0"/>
        <w:spacing w:line="276" w:lineRule="auto"/>
        <w:jc w:val="left"/>
        <w:rPr>
          <w:rFonts w:ascii="宋体" w:hAnsi="宋体"/>
          <w:sz w:val="24"/>
          <w:szCs w:val="20"/>
        </w:rPr>
      </w:pPr>
      <w:r>
        <w:rPr>
          <w:rFonts w:ascii="宋体" w:hAnsi="宋体"/>
          <w:sz w:val="24"/>
          <w:szCs w:val="20"/>
        </w:rPr>
        <w:t>    项目联系方式（询问）：</w:t>
      </w:r>
      <w:r>
        <w:rPr>
          <w:rFonts w:hint="eastAsia" w:ascii="宋体" w:hAnsi="宋体"/>
          <w:sz w:val="24"/>
          <w:szCs w:val="20"/>
        </w:rPr>
        <w:t>0579-88088931</w:t>
      </w:r>
    </w:p>
    <w:p>
      <w:pPr>
        <w:widowControl/>
        <w:adjustRightInd w:val="0"/>
        <w:snapToGrid w:val="0"/>
        <w:spacing w:line="276" w:lineRule="auto"/>
        <w:jc w:val="left"/>
        <w:rPr>
          <w:rFonts w:ascii="宋体" w:hAnsi="宋体"/>
          <w:sz w:val="24"/>
          <w:szCs w:val="20"/>
        </w:rPr>
      </w:pPr>
      <w:r>
        <w:rPr>
          <w:rFonts w:ascii="宋体" w:hAnsi="宋体"/>
          <w:sz w:val="24"/>
          <w:szCs w:val="20"/>
        </w:rPr>
        <w:t>    质疑联系人：</w:t>
      </w:r>
      <w:r>
        <w:rPr>
          <w:rFonts w:hint="eastAsia" w:ascii="宋体" w:hAnsi="宋体"/>
          <w:sz w:val="24"/>
          <w:szCs w:val="20"/>
        </w:rPr>
        <w:t>马女士</w:t>
      </w:r>
    </w:p>
    <w:p>
      <w:pPr>
        <w:spacing w:line="360" w:lineRule="auto"/>
        <w:ind w:firstLine="482"/>
        <w:jc w:val="left"/>
        <w:rPr>
          <w:rFonts w:ascii="宋体" w:hAnsi="宋体" w:eastAsia="宋体"/>
          <w:sz w:val="24"/>
          <w:szCs w:val="24"/>
        </w:rPr>
      </w:pPr>
      <w:r>
        <w:rPr>
          <w:rFonts w:ascii="宋体" w:hAnsi="宋体"/>
          <w:sz w:val="24"/>
          <w:szCs w:val="20"/>
        </w:rPr>
        <w:t> 质疑联系方式：</w:t>
      </w:r>
      <w:r>
        <w:rPr>
          <w:rFonts w:hint="eastAsia" w:ascii="宋体" w:hAnsi="宋体"/>
          <w:sz w:val="24"/>
          <w:szCs w:val="20"/>
        </w:rPr>
        <w:t>0579-88088931</w:t>
      </w:r>
    </w:p>
    <w:p>
      <w:pPr>
        <w:spacing w:line="360" w:lineRule="auto"/>
        <w:ind w:firstLine="482"/>
        <w:jc w:val="left"/>
        <w:rPr>
          <w:rFonts w:ascii="宋体" w:hAnsi="宋体"/>
          <w:sz w:val="24"/>
          <w:szCs w:val="20"/>
        </w:rPr>
      </w:pPr>
      <w:r>
        <w:rPr>
          <w:rFonts w:hint="eastAsia" w:ascii="宋体" w:hAnsi="宋体" w:eastAsia="宋体"/>
          <w:sz w:val="24"/>
          <w:szCs w:val="24"/>
        </w:rPr>
        <w:t>3.</w:t>
      </w:r>
      <w:r>
        <w:rPr>
          <w:rFonts w:ascii="宋体" w:hAnsi="宋体"/>
          <w:sz w:val="24"/>
          <w:szCs w:val="20"/>
        </w:rPr>
        <w:t>同级政府采购监督管理部门：</w:t>
      </w:r>
    </w:p>
    <w:p>
      <w:pPr>
        <w:widowControl/>
        <w:adjustRightInd w:val="0"/>
        <w:snapToGrid w:val="0"/>
        <w:spacing w:line="276" w:lineRule="auto"/>
        <w:jc w:val="left"/>
        <w:rPr>
          <w:rFonts w:ascii="宋体" w:hAnsi="宋体"/>
          <w:sz w:val="24"/>
          <w:szCs w:val="20"/>
        </w:rPr>
      </w:pPr>
      <w:r>
        <w:rPr>
          <w:rFonts w:hint="eastAsia" w:ascii="宋体" w:hAnsi="宋体"/>
          <w:sz w:val="24"/>
          <w:szCs w:val="20"/>
        </w:rPr>
        <w:t xml:space="preserve">      </w:t>
      </w:r>
      <w:r>
        <w:rPr>
          <w:rFonts w:ascii="宋体" w:hAnsi="宋体"/>
          <w:sz w:val="24"/>
          <w:szCs w:val="20"/>
        </w:rPr>
        <w:t>名    称：浦江县财政局政府采购监管科 </w:t>
      </w:r>
    </w:p>
    <w:p>
      <w:pPr>
        <w:widowControl/>
        <w:adjustRightInd w:val="0"/>
        <w:snapToGrid w:val="0"/>
        <w:spacing w:line="276" w:lineRule="auto"/>
        <w:jc w:val="left"/>
        <w:rPr>
          <w:rFonts w:ascii="宋体" w:hAnsi="宋体"/>
          <w:sz w:val="24"/>
          <w:szCs w:val="20"/>
        </w:rPr>
      </w:pPr>
      <w:r>
        <w:rPr>
          <w:rFonts w:ascii="宋体" w:hAnsi="宋体"/>
          <w:sz w:val="24"/>
          <w:szCs w:val="20"/>
        </w:rPr>
        <w:t>    地    址：</w:t>
      </w:r>
      <w:r>
        <w:rPr>
          <w:rFonts w:hint="eastAsia" w:ascii="宋体" w:hAnsi="宋体"/>
          <w:sz w:val="24"/>
          <w:szCs w:val="20"/>
        </w:rPr>
        <w:t>浦江县人民东路83号</w:t>
      </w:r>
      <w:r>
        <w:rPr>
          <w:rFonts w:ascii="宋体" w:hAnsi="宋体"/>
          <w:sz w:val="24"/>
          <w:szCs w:val="20"/>
        </w:rPr>
        <w:t> </w:t>
      </w:r>
    </w:p>
    <w:p>
      <w:pPr>
        <w:widowControl/>
        <w:adjustRightInd w:val="0"/>
        <w:snapToGrid w:val="0"/>
        <w:spacing w:line="276" w:lineRule="auto"/>
        <w:jc w:val="left"/>
        <w:rPr>
          <w:rFonts w:ascii="宋体" w:hAnsi="宋体"/>
          <w:sz w:val="24"/>
          <w:szCs w:val="20"/>
        </w:rPr>
      </w:pPr>
      <w:r>
        <w:rPr>
          <w:rFonts w:ascii="宋体" w:hAnsi="宋体"/>
          <w:sz w:val="24"/>
          <w:szCs w:val="20"/>
        </w:rPr>
        <w:t>    联</w:t>
      </w:r>
      <w:r>
        <w:rPr>
          <w:rFonts w:hint="eastAsia" w:ascii="宋体" w:hAnsi="宋体"/>
          <w:sz w:val="24"/>
          <w:szCs w:val="20"/>
        </w:rPr>
        <w:t xml:space="preserve">  </w:t>
      </w:r>
      <w:r>
        <w:rPr>
          <w:rFonts w:ascii="宋体" w:hAnsi="宋体"/>
          <w:sz w:val="24"/>
          <w:szCs w:val="20"/>
        </w:rPr>
        <w:t>系</w:t>
      </w:r>
      <w:r>
        <w:rPr>
          <w:rFonts w:hint="eastAsia" w:ascii="宋体" w:hAnsi="宋体"/>
          <w:sz w:val="24"/>
          <w:szCs w:val="20"/>
        </w:rPr>
        <w:t xml:space="preserve">  </w:t>
      </w:r>
      <w:r>
        <w:rPr>
          <w:rFonts w:ascii="宋体" w:hAnsi="宋体"/>
          <w:sz w:val="24"/>
          <w:szCs w:val="20"/>
        </w:rPr>
        <w:t>人 ：</w:t>
      </w:r>
      <w:r>
        <w:rPr>
          <w:rFonts w:hint="eastAsia" w:ascii="宋体" w:hAnsi="宋体"/>
          <w:sz w:val="24"/>
          <w:szCs w:val="20"/>
        </w:rPr>
        <w:t>赵先生</w:t>
      </w:r>
      <w:r>
        <w:rPr>
          <w:rFonts w:ascii="宋体" w:hAnsi="宋体"/>
          <w:sz w:val="24"/>
          <w:szCs w:val="20"/>
        </w:rPr>
        <w:t> </w:t>
      </w:r>
    </w:p>
    <w:p>
      <w:pPr>
        <w:adjustRightInd w:val="0"/>
        <w:snapToGrid w:val="0"/>
        <w:spacing w:line="276" w:lineRule="auto"/>
        <w:ind w:firstLine="720" w:firstLineChars="300"/>
        <w:jc w:val="left"/>
        <w:rPr>
          <w:rFonts w:ascii="宋体" w:hAnsi="宋体"/>
          <w:sz w:val="24"/>
          <w:szCs w:val="20"/>
        </w:rPr>
      </w:pPr>
      <w:r>
        <w:rPr>
          <w:rFonts w:ascii="宋体" w:hAnsi="宋体"/>
          <w:sz w:val="24"/>
          <w:szCs w:val="20"/>
        </w:rPr>
        <w:t>监督投诉电话：0579-84123011</w:t>
      </w:r>
    </w:p>
    <w:p>
      <w:pPr>
        <w:spacing w:line="360" w:lineRule="auto"/>
        <w:ind w:firstLine="482"/>
        <w:jc w:val="left"/>
        <w:rPr>
          <w:rFonts w:ascii="宋体" w:hAnsi="宋体" w:eastAsia="宋体"/>
          <w:sz w:val="24"/>
          <w:szCs w:val="24"/>
        </w:rPr>
      </w:pPr>
      <w:r>
        <w:rPr>
          <w:rFonts w:hint="eastAsia" w:ascii="宋体" w:hAnsi="宋体" w:eastAsia="宋体"/>
          <w:sz w:val="24"/>
          <w:szCs w:val="24"/>
        </w:rPr>
        <w:t>4.系统技术支持：</w:t>
      </w:r>
    </w:p>
    <w:p>
      <w:pPr>
        <w:widowControl/>
        <w:adjustRightInd w:val="0"/>
        <w:snapToGrid w:val="0"/>
        <w:spacing w:line="276" w:lineRule="auto"/>
        <w:jc w:val="left"/>
        <w:rPr>
          <w:rFonts w:ascii="宋体" w:hAnsi="宋体"/>
          <w:sz w:val="24"/>
          <w:szCs w:val="20"/>
        </w:rPr>
      </w:pPr>
      <w:r>
        <w:rPr>
          <w:rFonts w:hint="eastAsia" w:ascii="宋体" w:hAnsi="宋体"/>
          <w:sz w:val="24"/>
          <w:szCs w:val="20"/>
        </w:rPr>
        <w:t xml:space="preserve">      </w:t>
      </w:r>
      <w:r>
        <w:rPr>
          <w:rFonts w:ascii="宋体" w:hAnsi="宋体"/>
          <w:sz w:val="24"/>
          <w:szCs w:val="20"/>
        </w:rPr>
        <w:t>名    称：</w:t>
      </w:r>
      <w:r>
        <w:rPr>
          <w:rFonts w:hint="eastAsia" w:ascii="宋体" w:hAnsi="宋体"/>
          <w:sz w:val="24"/>
          <w:szCs w:val="20"/>
        </w:rPr>
        <w:t>政采云有限公司</w:t>
      </w:r>
      <w:r>
        <w:rPr>
          <w:rFonts w:ascii="宋体" w:hAnsi="宋体"/>
          <w:sz w:val="24"/>
          <w:szCs w:val="20"/>
        </w:rPr>
        <w:t> </w:t>
      </w:r>
    </w:p>
    <w:p>
      <w:pPr>
        <w:widowControl/>
        <w:adjustRightInd w:val="0"/>
        <w:snapToGrid w:val="0"/>
        <w:spacing w:line="276" w:lineRule="auto"/>
        <w:jc w:val="left"/>
        <w:rPr>
          <w:rFonts w:ascii="宋体" w:hAnsi="宋体"/>
          <w:sz w:val="24"/>
          <w:szCs w:val="20"/>
        </w:rPr>
      </w:pPr>
      <w:r>
        <w:rPr>
          <w:rFonts w:ascii="宋体" w:hAnsi="宋体"/>
          <w:sz w:val="24"/>
          <w:szCs w:val="20"/>
        </w:rPr>
        <w:t>   </w:t>
      </w:r>
      <w:r>
        <w:rPr>
          <w:rFonts w:hint="eastAsia" w:ascii="宋体" w:hAnsi="宋体"/>
          <w:sz w:val="24"/>
          <w:szCs w:val="20"/>
        </w:rPr>
        <w:t xml:space="preserve"> </w:t>
      </w:r>
      <w:r>
        <w:rPr>
          <w:rFonts w:ascii="宋体" w:hAnsi="宋体"/>
          <w:sz w:val="24"/>
          <w:szCs w:val="20"/>
        </w:rPr>
        <w:t>联</w:t>
      </w:r>
      <w:r>
        <w:rPr>
          <w:rFonts w:hint="eastAsia" w:ascii="宋体" w:hAnsi="宋体"/>
          <w:sz w:val="24"/>
          <w:szCs w:val="20"/>
        </w:rPr>
        <w:t xml:space="preserve">  </w:t>
      </w:r>
      <w:r>
        <w:rPr>
          <w:rFonts w:ascii="宋体" w:hAnsi="宋体"/>
          <w:sz w:val="24"/>
          <w:szCs w:val="20"/>
        </w:rPr>
        <w:t>系</w:t>
      </w:r>
      <w:r>
        <w:rPr>
          <w:rFonts w:hint="eastAsia" w:ascii="宋体" w:hAnsi="宋体"/>
          <w:sz w:val="24"/>
          <w:szCs w:val="20"/>
        </w:rPr>
        <w:t xml:space="preserve">  </w:t>
      </w:r>
      <w:r>
        <w:rPr>
          <w:rFonts w:ascii="宋体" w:hAnsi="宋体"/>
          <w:sz w:val="24"/>
          <w:szCs w:val="20"/>
        </w:rPr>
        <w:t>人 ：</w:t>
      </w:r>
      <w:r>
        <w:rPr>
          <w:rFonts w:hint="eastAsia" w:ascii="宋体" w:hAnsi="宋体"/>
          <w:sz w:val="24"/>
          <w:szCs w:val="20"/>
        </w:rPr>
        <w:t>客服</w:t>
      </w:r>
      <w:r>
        <w:rPr>
          <w:rFonts w:ascii="宋体" w:hAnsi="宋体"/>
          <w:sz w:val="24"/>
          <w:szCs w:val="20"/>
        </w:rPr>
        <w:t> </w:t>
      </w:r>
    </w:p>
    <w:p>
      <w:pPr>
        <w:adjustRightInd w:val="0"/>
        <w:snapToGrid w:val="0"/>
        <w:spacing w:line="276" w:lineRule="auto"/>
        <w:ind w:firstLine="720" w:firstLineChars="300"/>
        <w:jc w:val="left"/>
        <w:rPr>
          <w:rFonts w:ascii="宋体" w:hAnsi="宋体"/>
          <w:sz w:val="24"/>
          <w:szCs w:val="20"/>
        </w:rPr>
      </w:pPr>
      <w:r>
        <w:rPr>
          <w:rFonts w:hint="eastAsia" w:ascii="宋体" w:hAnsi="宋体"/>
          <w:sz w:val="24"/>
          <w:szCs w:val="20"/>
        </w:rPr>
        <w:t xml:space="preserve">联 系 </w:t>
      </w:r>
      <w:r>
        <w:rPr>
          <w:rFonts w:ascii="宋体" w:hAnsi="宋体"/>
          <w:sz w:val="24"/>
          <w:szCs w:val="20"/>
        </w:rPr>
        <w:t>电</w:t>
      </w:r>
      <w:r>
        <w:rPr>
          <w:rFonts w:hint="eastAsia" w:ascii="宋体" w:hAnsi="宋体"/>
          <w:sz w:val="24"/>
          <w:szCs w:val="20"/>
        </w:rPr>
        <w:t xml:space="preserve"> </w:t>
      </w:r>
      <w:r>
        <w:rPr>
          <w:rFonts w:ascii="宋体" w:hAnsi="宋体"/>
          <w:sz w:val="24"/>
          <w:szCs w:val="20"/>
        </w:rPr>
        <w:t>话：</w:t>
      </w:r>
      <w:r>
        <w:rPr>
          <w:rFonts w:hint="eastAsia" w:ascii="宋体" w:hAnsi="宋体"/>
          <w:sz w:val="24"/>
          <w:szCs w:val="20"/>
        </w:rPr>
        <w:t>95763</w:t>
      </w:r>
    </w:p>
    <w:p>
      <w:pPr>
        <w:spacing w:line="360" w:lineRule="auto"/>
        <w:ind w:firstLine="482"/>
        <w:jc w:val="left"/>
        <w:rPr>
          <w:rFonts w:ascii="宋体" w:hAnsi="宋体" w:eastAsia="宋体"/>
          <w:sz w:val="24"/>
          <w:szCs w:val="24"/>
        </w:rPr>
        <w:sectPr>
          <w:headerReference r:id="rId6" w:type="default"/>
          <w:footerReference r:id="rId7" w:type="default"/>
          <w:pgSz w:w="11906" w:h="16838"/>
          <w:pgMar w:top="1440" w:right="1800" w:bottom="1440" w:left="1800" w:header="851" w:footer="992" w:gutter="0"/>
          <w:pgNumType w:start="1"/>
          <w:cols w:space="425" w:num="1"/>
          <w:docGrid w:type="lines" w:linePitch="312" w:charSpace="0"/>
        </w:sectPr>
      </w:pPr>
    </w:p>
    <w:p>
      <w:pPr>
        <w:pStyle w:val="2"/>
      </w:pPr>
      <w:bookmarkStart w:id="1" w:name="_Toc157175690"/>
      <w:r>
        <w:rPr>
          <w:rFonts w:hint="eastAsia"/>
        </w:rPr>
        <w:t>第二章 采购需求</w:t>
      </w:r>
      <w:bookmarkEnd w:id="1"/>
    </w:p>
    <w:p>
      <w:pPr>
        <w:adjustRightInd w:val="0"/>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hint="eastAsia"/>
        </w:rPr>
        <w:t>“▲” 系指实质性要求条款，如响应方未响应，将被视为无效。“★”系产品采购项目中重要参数。</w:t>
      </w:r>
      <w:r>
        <w:rPr>
          <w:rFonts w:hint="eastAsia" w:ascii="宋体" w:hAnsi="宋体" w:eastAsia="宋体"/>
          <w:sz w:val="24"/>
          <w:szCs w:val="24"/>
        </w:rPr>
        <w:t>）</w:t>
      </w:r>
    </w:p>
    <w:p>
      <w:pPr>
        <w:pStyle w:val="3"/>
        <w:spacing w:before="0" w:after="0" w:line="360" w:lineRule="auto"/>
        <w:ind w:firstLine="424" w:firstLineChars="151"/>
        <w:rPr>
          <w:sz w:val="28"/>
        </w:rPr>
      </w:pPr>
      <w:bookmarkStart w:id="2" w:name="_Hlk121842464"/>
      <w:r>
        <w:rPr>
          <w:rFonts w:hint="eastAsia"/>
          <w:sz w:val="28"/>
        </w:rPr>
        <w:t>一、采购内容</w:t>
      </w:r>
    </w:p>
    <w:p>
      <w:pPr>
        <w:adjustRightInd w:val="0"/>
        <w:snapToGrid w:val="0"/>
        <w:spacing w:line="440" w:lineRule="exact"/>
        <w:ind w:firstLine="424" w:firstLineChars="177"/>
        <w:rPr>
          <w:sz w:val="24"/>
        </w:rPr>
      </w:pPr>
      <w:r>
        <w:rPr>
          <w:rFonts w:hint="eastAsia"/>
          <w:sz w:val="24"/>
        </w:rPr>
        <w:t>2024-2026年度浦江县政府投资项目概（预）算、结算及抽查审核等服务。</w:t>
      </w:r>
    </w:p>
    <w:p>
      <w:pPr>
        <w:pStyle w:val="3"/>
        <w:spacing w:before="0" w:after="0" w:line="360" w:lineRule="auto"/>
        <w:ind w:firstLine="424" w:firstLineChars="151"/>
        <w:rPr>
          <w:sz w:val="28"/>
        </w:rPr>
      </w:pPr>
      <w:r>
        <w:rPr>
          <w:rFonts w:hint="eastAsia"/>
          <w:sz w:val="28"/>
        </w:rPr>
        <w:t>二、工程咨询服务范围</w:t>
      </w:r>
    </w:p>
    <w:p>
      <w:pPr>
        <w:adjustRightInd w:val="0"/>
        <w:snapToGrid w:val="0"/>
        <w:spacing w:line="440" w:lineRule="exact"/>
        <w:ind w:firstLine="424" w:firstLineChars="177"/>
        <w:rPr>
          <w:sz w:val="24"/>
        </w:rPr>
      </w:pPr>
      <w:r>
        <w:rPr>
          <w:rFonts w:hint="eastAsia"/>
          <w:sz w:val="24"/>
        </w:rPr>
        <w:t>1.政府投资项目工程概（预）算（含工程量清单）审核；</w:t>
      </w:r>
    </w:p>
    <w:p>
      <w:pPr>
        <w:adjustRightInd w:val="0"/>
        <w:snapToGrid w:val="0"/>
        <w:spacing w:line="440" w:lineRule="exact"/>
        <w:ind w:firstLine="424" w:firstLineChars="177"/>
        <w:rPr>
          <w:sz w:val="24"/>
        </w:rPr>
      </w:pPr>
      <w:r>
        <w:rPr>
          <w:rFonts w:hint="eastAsia"/>
          <w:sz w:val="24"/>
        </w:rPr>
        <w:t>2.政府投资项目工程结算审核；</w:t>
      </w:r>
    </w:p>
    <w:p>
      <w:pPr>
        <w:adjustRightInd w:val="0"/>
        <w:snapToGrid w:val="0"/>
        <w:spacing w:line="440" w:lineRule="exact"/>
        <w:ind w:firstLine="424" w:firstLineChars="177"/>
        <w:rPr>
          <w:sz w:val="24"/>
        </w:rPr>
      </w:pPr>
      <w:r>
        <w:rPr>
          <w:rFonts w:hint="eastAsia"/>
          <w:sz w:val="24"/>
        </w:rPr>
        <w:t>3.其他由采购人组织委托的审核任务。</w:t>
      </w:r>
    </w:p>
    <w:p>
      <w:pPr>
        <w:pStyle w:val="3"/>
        <w:spacing w:before="0" w:after="0" w:line="360" w:lineRule="auto"/>
        <w:ind w:firstLine="424" w:firstLineChars="151"/>
        <w:rPr>
          <w:sz w:val="28"/>
        </w:rPr>
      </w:pPr>
      <w:r>
        <w:rPr>
          <w:rFonts w:hint="eastAsia"/>
          <w:sz w:val="28"/>
        </w:rPr>
        <w:t>三、入围数量</w:t>
      </w:r>
    </w:p>
    <w:p>
      <w:pPr>
        <w:adjustRightInd w:val="0"/>
        <w:snapToGrid w:val="0"/>
        <w:spacing w:line="440" w:lineRule="exact"/>
        <w:ind w:firstLine="424" w:firstLineChars="177"/>
        <w:rPr>
          <w:sz w:val="24"/>
        </w:rPr>
      </w:pPr>
      <w:r>
        <w:rPr>
          <w:rFonts w:hint="eastAsia"/>
          <w:sz w:val="24"/>
        </w:rPr>
        <w:t>根据评审结果，本次采购根据征集文件规定的淘汰率</w:t>
      </w:r>
      <w:r>
        <w:rPr>
          <w:rFonts w:hint="eastAsia"/>
          <w:sz w:val="24"/>
          <w:u w:val="single"/>
        </w:rPr>
        <w:t xml:space="preserve"> 20 </w:t>
      </w:r>
      <w:r>
        <w:rPr>
          <w:rFonts w:hint="eastAsia"/>
          <w:sz w:val="24"/>
        </w:rPr>
        <w:t>%确定，2024-2026年度浦江县政府投资项目审核服务第三方机构框架协议采购（封闭式）入围至多30家。</w:t>
      </w:r>
    </w:p>
    <w:p>
      <w:pPr>
        <w:pStyle w:val="3"/>
        <w:spacing w:before="0" w:after="0" w:line="360" w:lineRule="auto"/>
        <w:ind w:firstLine="424" w:firstLineChars="151"/>
        <w:rPr>
          <w:sz w:val="28"/>
        </w:rPr>
      </w:pPr>
      <w:r>
        <w:rPr>
          <w:rFonts w:hint="eastAsia"/>
          <w:sz w:val="28"/>
        </w:rPr>
        <w:t>四、服务期限</w:t>
      </w:r>
    </w:p>
    <w:p>
      <w:pPr>
        <w:ind w:firstLine="424" w:firstLineChars="177"/>
        <w:rPr>
          <w:rFonts w:asciiTheme="majorHAnsi" w:hAnsiTheme="majorHAnsi" w:eastAsiaTheme="majorEastAsia" w:cstheme="majorBidi"/>
          <w:b/>
          <w:bCs/>
          <w:sz w:val="24"/>
          <w:szCs w:val="24"/>
        </w:rPr>
      </w:pPr>
      <w:r>
        <w:rPr>
          <w:rFonts w:hint="eastAsia"/>
          <w:sz w:val="24"/>
        </w:rPr>
        <w:t>服务期2年（2024年5月1日—2026年4月30日）。</w:t>
      </w:r>
    </w:p>
    <w:p>
      <w:pPr>
        <w:pStyle w:val="3"/>
        <w:spacing w:before="0" w:after="0" w:line="360" w:lineRule="auto"/>
        <w:ind w:firstLine="424" w:firstLineChars="151"/>
        <w:rPr>
          <w:sz w:val="28"/>
        </w:rPr>
      </w:pPr>
      <w:r>
        <w:rPr>
          <w:rFonts w:hint="eastAsia"/>
          <w:sz w:val="28"/>
        </w:rPr>
        <w:t>五、服务要求</w:t>
      </w:r>
    </w:p>
    <w:p>
      <w:pPr>
        <w:adjustRightInd w:val="0"/>
        <w:snapToGrid w:val="0"/>
        <w:spacing w:line="440" w:lineRule="exact"/>
        <w:ind w:firstLine="424" w:firstLineChars="177"/>
        <w:rPr>
          <w:sz w:val="24"/>
        </w:rPr>
      </w:pPr>
      <w:r>
        <w:rPr>
          <w:rFonts w:hint="eastAsia"/>
          <w:sz w:val="24"/>
        </w:rPr>
        <w:t>1.组建专业服务团队：</w:t>
      </w:r>
    </w:p>
    <w:p>
      <w:pPr>
        <w:adjustRightInd w:val="0"/>
        <w:snapToGrid w:val="0"/>
        <w:spacing w:line="440" w:lineRule="exact"/>
        <w:ind w:firstLine="424" w:firstLineChars="177"/>
        <w:rPr>
          <w:color w:val="C00000"/>
          <w:sz w:val="24"/>
        </w:rPr>
      </w:pPr>
      <w:r>
        <w:rPr>
          <w:rFonts w:hint="eastAsia"/>
          <w:sz w:val="24"/>
        </w:rPr>
        <w:t>▲⑴要求拟派的项目组人员为全国一级注册造价工程师不得少于4人且不得超过8人，其中建筑、安装、水利、公路等专业（一级注册造价工程师）至少各一名。</w:t>
      </w:r>
    </w:p>
    <w:p>
      <w:pPr>
        <w:adjustRightInd w:val="0"/>
        <w:snapToGrid w:val="0"/>
        <w:spacing w:line="440" w:lineRule="exact"/>
        <w:ind w:firstLine="424" w:firstLineChars="177"/>
        <w:rPr>
          <w:sz w:val="24"/>
        </w:rPr>
      </w:pPr>
      <w:r>
        <w:rPr>
          <w:rFonts w:hint="eastAsia"/>
          <w:sz w:val="24"/>
        </w:rPr>
        <w:t>⑵</w:t>
      </w:r>
      <w:r>
        <w:rPr>
          <w:sz w:val="24"/>
        </w:rPr>
        <w:t>团队成员一旦确定，人员</w:t>
      </w:r>
      <w:r>
        <w:rPr>
          <w:rFonts w:hint="eastAsia"/>
          <w:sz w:val="24"/>
        </w:rPr>
        <w:t>一般情况下</w:t>
      </w:r>
      <w:r>
        <w:rPr>
          <w:sz w:val="24"/>
        </w:rPr>
        <w:t>不得变更，</w:t>
      </w:r>
      <w:r>
        <w:rPr>
          <w:rFonts w:hint="eastAsia"/>
          <w:sz w:val="24"/>
        </w:rPr>
        <w:t>如确需变更的须征得采购人的书面同意并报征集人（主管预算单位）备案</w:t>
      </w:r>
      <w:r>
        <w:rPr>
          <w:sz w:val="24"/>
        </w:rPr>
        <w:t>。</w:t>
      </w:r>
    </w:p>
    <w:p>
      <w:pPr>
        <w:adjustRightInd w:val="0"/>
        <w:snapToGrid w:val="0"/>
        <w:spacing w:line="440" w:lineRule="exact"/>
        <w:ind w:firstLine="424" w:firstLineChars="177"/>
        <w:rPr>
          <w:sz w:val="24"/>
        </w:rPr>
      </w:pPr>
      <w:r>
        <w:rPr>
          <w:rFonts w:hint="eastAsia"/>
          <w:sz w:val="24"/>
        </w:rPr>
        <w:t>⑶对专业服务团队做好管理，保证采购人获得优先服务的权利，根据采购人的通知及时签订合同，并提供完整的管理制度和服务方案。</w:t>
      </w:r>
    </w:p>
    <w:p>
      <w:pPr>
        <w:adjustRightInd w:val="0"/>
        <w:snapToGrid w:val="0"/>
        <w:spacing w:line="440" w:lineRule="exact"/>
        <w:ind w:firstLine="424" w:firstLineChars="177"/>
        <w:rPr>
          <w:sz w:val="24"/>
        </w:rPr>
      </w:pPr>
      <w:r>
        <w:rPr>
          <w:rFonts w:hint="eastAsia"/>
          <w:sz w:val="24"/>
        </w:rPr>
        <w:t>注：中华人民共和国交通运输部颁发的甲级公路工程造价员资格证书视同一级，中国水利工程协会颁布或水利部注册颁发的水利工程造价工程师资格证书视同一级；建设部原注册造价工程师视同为一级，其专业的认定需提供造价信息网或全国建筑市场监管公共服务平台或交通执业资格网能体现专业的查询截图。</w:t>
      </w:r>
    </w:p>
    <w:p>
      <w:pPr>
        <w:adjustRightInd w:val="0"/>
        <w:snapToGrid w:val="0"/>
        <w:spacing w:line="440" w:lineRule="exact"/>
        <w:ind w:firstLine="424" w:firstLineChars="177"/>
        <w:rPr>
          <w:sz w:val="24"/>
          <w:highlight w:val="yellow"/>
        </w:rPr>
      </w:pPr>
    </w:p>
    <w:p>
      <w:pPr>
        <w:adjustRightInd w:val="0"/>
        <w:snapToGrid w:val="0"/>
        <w:spacing w:line="440" w:lineRule="exact"/>
        <w:ind w:firstLine="424" w:firstLineChars="177"/>
        <w:rPr>
          <w:sz w:val="24"/>
        </w:rPr>
      </w:pPr>
      <w:r>
        <w:rPr>
          <w:rFonts w:hint="eastAsia"/>
          <w:sz w:val="24"/>
        </w:rPr>
        <w:t>2.</w:t>
      </w:r>
      <w:r>
        <w:rPr>
          <w:sz w:val="24"/>
        </w:rPr>
        <w:t xml:space="preserve"> 项目审核工作要求：</w:t>
      </w:r>
    </w:p>
    <w:p>
      <w:pPr>
        <w:adjustRightInd w:val="0"/>
        <w:snapToGrid w:val="0"/>
        <w:spacing w:line="440" w:lineRule="exact"/>
        <w:ind w:firstLine="424" w:firstLineChars="177"/>
        <w:rPr>
          <w:sz w:val="24"/>
        </w:rPr>
      </w:pPr>
      <w:r>
        <w:rPr>
          <w:rFonts w:hint="eastAsia"/>
          <w:sz w:val="24"/>
        </w:rPr>
        <w:t>⑴</w:t>
      </w:r>
      <w:r>
        <w:rPr>
          <w:sz w:val="24"/>
        </w:rPr>
        <w:t>审核内容：</w:t>
      </w:r>
      <w:r>
        <w:rPr>
          <w:rFonts w:hint="eastAsia"/>
          <w:sz w:val="24"/>
        </w:rPr>
        <w:t xml:space="preserve"> </w:t>
      </w:r>
    </w:p>
    <w:p>
      <w:pPr>
        <w:adjustRightInd w:val="0"/>
        <w:snapToGrid w:val="0"/>
        <w:spacing w:line="440" w:lineRule="exact"/>
        <w:ind w:firstLine="424" w:firstLineChars="177"/>
        <w:rPr>
          <w:rFonts w:ascii="宋体" w:hAnsi="宋体" w:eastAsia="宋体" w:cs="宋体"/>
          <w:kern w:val="0"/>
          <w:sz w:val="24"/>
          <w:szCs w:val="24"/>
          <w:lang w:bidi="ar"/>
        </w:rPr>
      </w:pPr>
      <w:r>
        <w:rPr>
          <w:rFonts w:hint="eastAsia"/>
          <w:sz w:val="24"/>
        </w:rPr>
        <w:t>概算审核内容：</w:t>
      </w:r>
      <w:r>
        <w:rPr>
          <w:rFonts w:hint="eastAsia" w:ascii="宋体" w:hAnsi="宋体" w:eastAsia="宋体" w:cs="宋体"/>
          <w:kern w:val="0"/>
          <w:sz w:val="24"/>
          <w:szCs w:val="24"/>
          <w:lang w:bidi="ar"/>
        </w:rPr>
        <w:t>审查项目的立项和审批情况；审查概算的编制范围及具体内容是否与批准的项目范围及具体工程内容相一致，有无擅自改变建设内容、扩大建设规模、提高建设标准；审查概算编制依据的准确性，概算所采用的定额体系是否正确；审查概算编制的准确性、完整性，对定额套用、工程量、取费、材料价格及有无漏项等进行审核，审查工程建设其他费是否符合国家、省市、地方的有关规定。</w:t>
      </w:r>
    </w:p>
    <w:p>
      <w:pPr>
        <w:adjustRightInd w:val="0"/>
        <w:snapToGrid w:val="0"/>
        <w:spacing w:line="440" w:lineRule="exact"/>
        <w:ind w:firstLine="424" w:firstLineChars="177"/>
        <w:rPr>
          <w:rFonts w:ascii="宋体" w:hAnsi="宋体" w:eastAsia="宋体" w:cs="宋体"/>
          <w:kern w:val="0"/>
          <w:sz w:val="24"/>
          <w:szCs w:val="24"/>
          <w:lang w:bidi="ar"/>
        </w:rPr>
      </w:pPr>
      <w:r>
        <w:rPr>
          <w:rFonts w:hint="eastAsia" w:ascii="宋体" w:hAnsi="宋体" w:eastAsia="宋体" w:cs="宋体"/>
          <w:kern w:val="0"/>
          <w:sz w:val="24"/>
          <w:szCs w:val="24"/>
          <w:lang w:bidi="ar"/>
        </w:rPr>
        <w:t>预算审核内容：审查项目预算的编制范围及具体内容是否与批准的项目设计范围及具体工程内容相一致；审查预算编制依据的准确性，预算所采用的定额体系是否正确；审查预算编制的准确性、完整性，对定额套用、工程量、取费、材料价格及有无漏项等进行审核，审查招标文件中的有关取费、材料品牌等内容是否与项目预算书的一致等。</w:t>
      </w:r>
    </w:p>
    <w:p>
      <w:pPr>
        <w:adjustRightInd w:val="0"/>
        <w:snapToGrid w:val="0"/>
        <w:spacing w:line="440" w:lineRule="exact"/>
        <w:ind w:firstLine="424" w:firstLineChars="177"/>
        <w:rPr>
          <w:rFonts w:ascii="宋体" w:hAnsi="宋体" w:eastAsia="宋体" w:cs="宋体"/>
          <w:kern w:val="0"/>
          <w:sz w:val="24"/>
          <w:szCs w:val="24"/>
          <w:lang w:bidi="ar"/>
        </w:rPr>
      </w:pPr>
      <w:r>
        <w:rPr>
          <w:rFonts w:hint="eastAsia" w:ascii="宋体" w:hAnsi="宋体" w:eastAsia="宋体" w:cs="宋体"/>
          <w:kern w:val="0"/>
          <w:sz w:val="24"/>
          <w:szCs w:val="24"/>
          <w:lang w:bidi="ar"/>
        </w:rPr>
        <w:t>结算审核内容：审查工程概算的执行情况，项目建设内容是否与概算批复一致，项目投资是否控制在概预算投资额内；审查工程招投标程序、合同签订是否合法、合规，审查施工合同的执行情况、完工实际与施工图、竣工图、隐蔽工程验收单的一致性；审查工程联系单、设计变更的真实性和有效性、合法性；审查工程结算计价方式是否符合施工合同约定、工程量和单价的计算是否准确等。</w:t>
      </w:r>
    </w:p>
    <w:p>
      <w:pPr>
        <w:adjustRightInd w:val="0"/>
        <w:snapToGrid w:val="0"/>
        <w:spacing w:line="440" w:lineRule="exact"/>
        <w:ind w:firstLine="424" w:firstLineChars="177"/>
        <w:rPr>
          <w:rFonts w:ascii="宋体" w:hAnsi="宋体" w:eastAsia="宋体" w:cs="宋体"/>
          <w:kern w:val="0"/>
          <w:sz w:val="24"/>
          <w:szCs w:val="24"/>
          <w:lang w:bidi="ar"/>
        </w:rPr>
      </w:pPr>
      <w:r>
        <w:rPr>
          <w:rFonts w:hint="eastAsia" w:ascii="宋体" w:hAnsi="宋体" w:eastAsia="宋体" w:cs="宋体"/>
          <w:kern w:val="0"/>
          <w:sz w:val="24"/>
          <w:szCs w:val="24"/>
          <w:lang w:bidi="ar"/>
        </w:rPr>
        <w:t>抽查审核内容：对一审单位出具的审核报告作全面审核。</w:t>
      </w:r>
    </w:p>
    <w:p>
      <w:pPr>
        <w:adjustRightInd w:val="0"/>
        <w:snapToGrid w:val="0"/>
        <w:spacing w:line="440" w:lineRule="exact"/>
        <w:ind w:firstLine="424" w:firstLineChars="177"/>
        <w:rPr>
          <w:rFonts w:ascii="宋体" w:hAnsi="宋体" w:eastAsia="宋体" w:cs="宋体"/>
          <w:kern w:val="0"/>
          <w:sz w:val="24"/>
          <w:szCs w:val="24"/>
          <w:lang w:bidi="ar"/>
        </w:rPr>
      </w:pPr>
      <w:r>
        <w:rPr>
          <w:rFonts w:hint="eastAsia" w:ascii="宋体" w:hAnsi="宋体" w:eastAsia="宋体" w:cs="宋体"/>
          <w:kern w:val="0"/>
          <w:sz w:val="24"/>
          <w:szCs w:val="24"/>
          <w:lang w:bidi="ar"/>
        </w:rPr>
        <w:t>⑵</w:t>
      </w:r>
      <w:r>
        <w:rPr>
          <w:rFonts w:ascii="宋体" w:hAnsi="宋体" w:eastAsia="宋体" w:cs="宋体"/>
          <w:kern w:val="0"/>
          <w:sz w:val="24"/>
          <w:szCs w:val="24"/>
          <w:lang w:bidi="ar"/>
        </w:rPr>
        <w:t>审核时限：</w:t>
      </w:r>
      <w:r>
        <w:rPr>
          <w:rFonts w:hint="eastAsia" w:ascii="宋体" w:hAnsi="宋体" w:eastAsia="宋体" w:cs="宋体"/>
          <w:kern w:val="0"/>
          <w:sz w:val="24"/>
          <w:szCs w:val="24"/>
          <w:lang w:bidi="ar"/>
        </w:rPr>
        <w:t>响应方一般应在《浦江县政府（国有资本）投资项目委托工程造价咨询企业审核管理办法》（浦财审【2022】1号）规定的审核时间内向采购人提交完整的书面审核成果（根据项目实际情况，以采购人委托书规定的时间为准）。无故拖延审核时间或不配合采购人管理，影响审核质效的，采购人有权终止服务协议并按规定另行处理。</w:t>
      </w:r>
    </w:p>
    <w:p>
      <w:pPr>
        <w:adjustRightInd w:val="0"/>
        <w:snapToGrid w:val="0"/>
        <w:spacing w:line="440" w:lineRule="exact"/>
        <w:ind w:firstLine="424" w:firstLineChars="177"/>
        <w:rPr>
          <w:rFonts w:ascii="宋体" w:hAnsi="宋体" w:eastAsia="宋体" w:cs="宋体"/>
          <w:kern w:val="0"/>
          <w:sz w:val="24"/>
          <w:szCs w:val="24"/>
          <w:lang w:bidi="ar"/>
        </w:rPr>
      </w:pPr>
      <w:r>
        <w:rPr>
          <w:rFonts w:hint="eastAsia" w:ascii="宋体" w:hAnsi="宋体" w:eastAsia="宋体" w:cs="宋体"/>
          <w:kern w:val="0"/>
          <w:sz w:val="24"/>
          <w:szCs w:val="24"/>
          <w:lang w:bidi="ar"/>
        </w:rPr>
        <w:t>⑶</w:t>
      </w:r>
      <w:r>
        <w:rPr>
          <w:rFonts w:ascii="宋体" w:hAnsi="宋体" w:eastAsia="宋体" w:cs="宋体"/>
          <w:kern w:val="0"/>
          <w:sz w:val="24"/>
          <w:szCs w:val="24"/>
          <w:lang w:bidi="ar"/>
        </w:rPr>
        <w:t>审核质量：</w:t>
      </w:r>
      <w:r>
        <w:rPr>
          <w:rFonts w:hint="eastAsia" w:ascii="宋体" w:hAnsi="宋体" w:eastAsia="宋体" w:cs="宋体"/>
          <w:kern w:val="0"/>
          <w:sz w:val="24"/>
          <w:szCs w:val="24"/>
          <w:lang w:bidi="ar"/>
        </w:rPr>
        <w:t>审核结果综合误差率不得超过±2%（含）。</w:t>
      </w:r>
    </w:p>
    <w:p>
      <w:pPr>
        <w:adjustRightInd w:val="0"/>
        <w:snapToGrid w:val="0"/>
        <w:spacing w:line="440" w:lineRule="exact"/>
        <w:ind w:firstLine="424" w:firstLineChars="177"/>
        <w:rPr>
          <w:rFonts w:ascii="宋体" w:hAnsi="宋体" w:eastAsia="宋体" w:cs="宋体"/>
          <w:kern w:val="0"/>
          <w:sz w:val="24"/>
          <w:szCs w:val="24"/>
          <w:lang w:bidi="ar"/>
        </w:rPr>
      </w:pPr>
      <w:r>
        <w:rPr>
          <w:rFonts w:hint="eastAsia" w:ascii="宋体" w:hAnsi="宋体" w:eastAsia="宋体" w:cs="宋体"/>
          <w:kern w:val="0"/>
          <w:sz w:val="24"/>
          <w:szCs w:val="24"/>
          <w:lang w:bidi="ar"/>
        </w:rPr>
        <w:t>如误差率高于±2%的，按照《浦江县政府（国有资本）投资项目委托工程造价咨询企业审核管理办法》（浦财审【2022】1号）或后续修改（补充）文件进行考核和支付费用。</w:t>
      </w:r>
    </w:p>
    <w:p>
      <w:pPr>
        <w:adjustRightInd w:val="0"/>
        <w:snapToGrid w:val="0"/>
        <w:spacing w:line="440" w:lineRule="exact"/>
        <w:ind w:firstLine="424" w:firstLineChars="177"/>
        <w:rPr>
          <w:rFonts w:ascii="宋体" w:hAnsi="宋体" w:eastAsia="宋体" w:cs="宋体"/>
          <w:kern w:val="0"/>
          <w:sz w:val="24"/>
          <w:szCs w:val="24"/>
          <w:lang w:bidi="ar"/>
        </w:rPr>
      </w:pPr>
      <w:r>
        <w:rPr>
          <w:rFonts w:hint="eastAsia" w:ascii="宋体" w:hAnsi="宋体" w:eastAsia="宋体" w:cs="宋体"/>
          <w:kern w:val="0"/>
          <w:sz w:val="24"/>
          <w:szCs w:val="24"/>
          <w:lang w:bidi="ar"/>
        </w:rPr>
        <w:t>3.其他要求：</w:t>
      </w:r>
    </w:p>
    <w:p>
      <w:pPr>
        <w:pStyle w:val="8"/>
        <w:spacing w:line="440" w:lineRule="exact"/>
        <w:ind w:firstLine="480" w:firstLineChars="200"/>
        <w:rPr>
          <w:rFonts w:ascii="宋体" w:hAnsi="宋体" w:eastAsia="宋体" w:cs="宋体"/>
          <w:kern w:val="0"/>
          <w:sz w:val="24"/>
          <w:szCs w:val="24"/>
          <w:lang w:bidi="ar"/>
        </w:rPr>
      </w:pPr>
      <w:r>
        <w:rPr>
          <w:rFonts w:hint="eastAsia" w:ascii="宋体" w:hAnsi="宋体" w:eastAsia="宋体" w:cs="宋体"/>
          <w:kern w:val="0"/>
          <w:sz w:val="24"/>
          <w:szCs w:val="24"/>
          <w:lang w:bidi="ar"/>
        </w:rPr>
        <w:t>⑴框架协议系统填报的商品格式统一为：公司名称+2024-2026年度浦江县政府投资项目审核服务。</w:t>
      </w:r>
    </w:p>
    <w:p>
      <w:pPr>
        <w:pStyle w:val="8"/>
        <w:spacing w:line="440" w:lineRule="exact"/>
        <w:ind w:firstLine="480" w:firstLineChars="200"/>
        <w:rPr>
          <w:rFonts w:ascii="宋体" w:hAnsi="宋体" w:eastAsia="宋体" w:cs="宋体"/>
          <w:kern w:val="0"/>
          <w:sz w:val="24"/>
          <w:szCs w:val="24"/>
          <w:lang w:bidi="ar"/>
        </w:rPr>
      </w:pPr>
      <w:r>
        <w:rPr>
          <w:rFonts w:hint="eastAsia" w:ascii="宋体" w:hAnsi="宋体" w:eastAsia="宋体" w:cs="宋体"/>
          <w:kern w:val="0"/>
          <w:sz w:val="24"/>
          <w:szCs w:val="24"/>
          <w:lang w:bidi="ar"/>
        </w:rPr>
        <w:t>⑵框架协议系统填报的商品主图统一为：响应供应商公司logo或公司名称的图片。</w:t>
      </w:r>
    </w:p>
    <w:p>
      <w:pPr>
        <w:pStyle w:val="3"/>
        <w:spacing w:before="0" w:after="0" w:line="360" w:lineRule="auto"/>
        <w:ind w:firstLine="424" w:firstLineChars="151"/>
        <w:rPr>
          <w:sz w:val="28"/>
        </w:rPr>
      </w:pPr>
      <w:r>
        <w:rPr>
          <w:rFonts w:hint="eastAsia"/>
          <w:sz w:val="28"/>
        </w:rPr>
        <w:t>六、最高限价及结算方式</w:t>
      </w:r>
    </w:p>
    <w:p>
      <w:pPr>
        <w:adjustRightInd w:val="0"/>
        <w:snapToGrid w:val="0"/>
        <w:spacing w:line="440" w:lineRule="exact"/>
        <w:ind w:firstLine="424" w:firstLineChars="177"/>
        <w:rPr>
          <w:sz w:val="24"/>
        </w:rPr>
      </w:pPr>
      <w:r>
        <w:rPr>
          <w:rFonts w:hint="eastAsia"/>
          <w:sz w:val="24"/>
        </w:rPr>
        <w:t>1.最高限价：按以下（表一）计费标准的70%为最高限价。</w:t>
      </w:r>
    </w:p>
    <w:p>
      <w:pPr>
        <w:adjustRightInd w:val="0"/>
        <w:snapToGrid w:val="0"/>
        <w:spacing w:line="440" w:lineRule="exact"/>
        <w:ind w:firstLine="424" w:firstLineChars="177"/>
        <w:rPr>
          <w:sz w:val="24"/>
        </w:rPr>
      </w:pPr>
      <w:r>
        <w:rPr>
          <w:rFonts w:hint="eastAsia"/>
          <w:sz w:val="24"/>
        </w:rPr>
        <w:t>2.费用计算标准：</w:t>
      </w:r>
    </w:p>
    <w:p>
      <w:pPr>
        <w:adjustRightInd w:val="0"/>
        <w:snapToGrid w:val="0"/>
        <w:spacing w:line="440" w:lineRule="exact"/>
        <w:ind w:firstLine="424" w:firstLineChars="177"/>
        <w:rPr>
          <w:sz w:val="24"/>
        </w:rPr>
      </w:pPr>
      <w:r>
        <w:rPr>
          <w:rFonts w:hint="eastAsia"/>
          <w:sz w:val="24"/>
        </w:rPr>
        <w:t>审核费用按照（表一）结合响应方的成交折扣率计取（每件咨询服务计费不足2000元的，按2000元收费）。</w:t>
      </w:r>
    </w:p>
    <w:p>
      <w:pPr>
        <w:adjustRightInd w:val="0"/>
        <w:snapToGrid w:val="0"/>
        <w:spacing w:line="440" w:lineRule="exact"/>
        <w:ind w:firstLine="424" w:firstLineChars="177"/>
        <w:jc w:val="center"/>
        <w:rPr>
          <w:rFonts w:ascii="宋体" w:hAnsi="宋体" w:cs="宋体"/>
          <w:sz w:val="24"/>
        </w:rPr>
      </w:pPr>
      <w:r>
        <w:rPr>
          <w:rFonts w:hint="eastAsia" w:ascii="宋体" w:hAnsi="宋体" w:cs="宋体"/>
          <w:sz w:val="24"/>
        </w:rPr>
        <w:t>（表一）工程造价咨询服务费用计算标准</w:t>
      </w:r>
      <w:r>
        <w:rPr>
          <w:rFonts w:hint="eastAsia" w:ascii="宋体" w:hAnsi="宋体" w:cs="宋体"/>
          <w:sz w:val="24"/>
        </w:rPr>
        <w:cr/>
      </w:r>
    </w:p>
    <w:tbl>
      <w:tblPr>
        <w:tblStyle w:val="19"/>
        <w:tblpPr w:leftFromText="180" w:rightFromText="180" w:vertAnchor="text" w:horzAnchor="page" w:tblpX="829" w:tblpY="291"/>
        <w:tblOverlap w:val="never"/>
        <w:tblW w:w="10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5"/>
        <w:gridCol w:w="1442"/>
        <w:gridCol w:w="1150"/>
        <w:gridCol w:w="883"/>
        <w:gridCol w:w="1025"/>
        <w:gridCol w:w="1117"/>
        <w:gridCol w:w="1220"/>
        <w:gridCol w:w="1150"/>
        <w:gridCol w:w="1260"/>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5" w:type="dxa"/>
            <w:vMerge w:val="restart"/>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序号</w:t>
            </w:r>
          </w:p>
        </w:tc>
        <w:tc>
          <w:tcPr>
            <w:tcW w:w="1442" w:type="dxa"/>
            <w:vMerge w:val="restart"/>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咨询项目</w:t>
            </w:r>
          </w:p>
        </w:tc>
        <w:tc>
          <w:tcPr>
            <w:tcW w:w="1150" w:type="dxa"/>
            <w:vMerge w:val="restart"/>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收费基数</w:t>
            </w:r>
          </w:p>
        </w:tc>
        <w:tc>
          <w:tcPr>
            <w:tcW w:w="7674" w:type="dxa"/>
            <w:gridSpan w:val="7"/>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分档累进计费标准                 （费率‰）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315" w:type="dxa"/>
            <w:vMerge w:val="continue"/>
            <w:shd w:val="clear" w:color="auto" w:fill="auto"/>
            <w:tcMar>
              <w:top w:w="12" w:type="dxa"/>
              <w:left w:w="12" w:type="dxa"/>
              <w:right w:w="12" w:type="dxa"/>
            </w:tcMar>
            <w:vAlign w:val="center"/>
          </w:tcPr>
          <w:p>
            <w:pPr>
              <w:spacing w:line="360" w:lineRule="auto"/>
              <w:jc w:val="center"/>
              <w:rPr>
                <w:rFonts w:ascii="宋体" w:hAnsi="Courier New" w:eastAsia="宋体" w:cs="Times New Roman"/>
                <w:sz w:val="24"/>
                <w:szCs w:val="24"/>
              </w:rPr>
            </w:pPr>
          </w:p>
        </w:tc>
        <w:tc>
          <w:tcPr>
            <w:tcW w:w="1442" w:type="dxa"/>
            <w:vMerge w:val="continue"/>
            <w:shd w:val="clear" w:color="auto" w:fill="auto"/>
            <w:tcMar>
              <w:top w:w="12" w:type="dxa"/>
              <w:left w:w="12" w:type="dxa"/>
              <w:right w:w="12" w:type="dxa"/>
            </w:tcMar>
            <w:vAlign w:val="center"/>
          </w:tcPr>
          <w:p>
            <w:pPr>
              <w:spacing w:line="360" w:lineRule="auto"/>
              <w:jc w:val="center"/>
              <w:rPr>
                <w:rFonts w:ascii="宋体" w:hAnsi="Courier New" w:eastAsia="宋体" w:cs="Times New Roman"/>
                <w:sz w:val="24"/>
                <w:szCs w:val="24"/>
              </w:rPr>
            </w:pPr>
          </w:p>
        </w:tc>
        <w:tc>
          <w:tcPr>
            <w:tcW w:w="1150" w:type="dxa"/>
            <w:vMerge w:val="continue"/>
            <w:shd w:val="clear" w:color="auto" w:fill="auto"/>
            <w:tcMar>
              <w:top w:w="12" w:type="dxa"/>
              <w:left w:w="12" w:type="dxa"/>
              <w:right w:w="12" w:type="dxa"/>
            </w:tcMar>
            <w:vAlign w:val="center"/>
          </w:tcPr>
          <w:p>
            <w:pPr>
              <w:spacing w:line="360" w:lineRule="auto"/>
              <w:jc w:val="center"/>
              <w:rPr>
                <w:rFonts w:ascii="宋体" w:hAnsi="Courier New" w:eastAsia="宋体" w:cs="Times New Roman"/>
                <w:sz w:val="24"/>
                <w:szCs w:val="24"/>
              </w:rPr>
            </w:pPr>
          </w:p>
        </w:tc>
        <w:tc>
          <w:tcPr>
            <w:tcW w:w="883"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100万元以内</w:t>
            </w:r>
          </w:p>
        </w:tc>
        <w:tc>
          <w:tcPr>
            <w:tcW w:w="1025"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101万-500万元</w:t>
            </w:r>
          </w:p>
        </w:tc>
        <w:tc>
          <w:tcPr>
            <w:tcW w:w="1117"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501万-1000万元</w:t>
            </w:r>
          </w:p>
        </w:tc>
        <w:tc>
          <w:tcPr>
            <w:tcW w:w="122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1001万-2000万元</w:t>
            </w:r>
          </w:p>
        </w:tc>
        <w:tc>
          <w:tcPr>
            <w:tcW w:w="115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2001万-5000万元</w:t>
            </w:r>
          </w:p>
        </w:tc>
        <w:tc>
          <w:tcPr>
            <w:tcW w:w="126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5001万-10000万元</w:t>
            </w:r>
          </w:p>
        </w:tc>
        <w:tc>
          <w:tcPr>
            <w:tcW w:w="1019"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10000万元以上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trPr>
        <w:tc>
          <w:tcPr>
            <w:tcW w:w="315"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w:t>
            </w:r>
          </w:p>
        </w:tc>
        <w:tc>
          <w:tcPr>
            <w:tcW w:w="1442"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概算审核（抽查）</w:t>
            </w:r>
          </w:p>
        </w:tc>
        <w:tc>
          <w:tcPr>
            <w:tcW w:w="115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送审造价</w:t>
            </w:r>
          </w:p>
        </w:tc>
        <w:tc>
          <w:tcPr>
            <w:tcW w:w="883"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1.7</w:t>
            </w:r>
          </w:p>
        </w:tc>
        <w:tc>
          <w:tcPr>
            <w:tcW w:w="1025"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1.5</w:t>
            </w:r>
          </w:p>
        </w:tc>
        <w:tc>
          <w:tcPr>
            <w:tcW w:w="1117"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1.3</w:t>
            </w:r>
          </w:p>
        </w:tc>
        <w:tc>
          <w:tcPr>
            <w:tcW w:w="122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1.1</w:t>
            </w:r>
          </w:p>
        </w:tc>
        <w:tc>
          <w:tcPr>
            <w:tcW w:w="115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1.0</w:t>
            </w:r>
          </w:p>
        </w:tc>
        <w:tc>
          <w:tcPr>
            <w:tcW w:w="126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0.9</w:t>
            </w:r>
          </w:p>
        </w:tc>
        <w:tc>
          <w:tcPr>
            <w:tcW w:w="1019"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0" w:hRule="atLeast"/>
        </w:trPr>
        <w:tc>
          <w:tcPr>
            <w:tcW w:w="315"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2</w:t>
            </w:r>
          </w:p>
        </w:tc>
        <w:tc>
          <w:tcPr>
            <w:tcW w:w="1442"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预算或招标控制价（含工程量清单）的审核（抽查）</w:t>
            </w:r>
          </w:p>
        </w:tc>
        <w:tc>
          <w:tcPr>
            <w:tcW w:w="115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送审造价</w:t>
            </w:r>
          </w:p>
        </w:tc>
        <w:tc>
          <w:tcPr>
            <w:tcW w:w="883"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2.88</w:t>
            </w:r>
          </w:p>
        </w:tc>
        <w:tc>
          <w:tcPr>
            <w:tcW w:w="1025"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2.64</w:t>
            </w:r>
          </w:p>
        </w:tc>
        <w:tc>
          <w:tcPr>
            <w:tcW w:w="1117"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2.4</w:t>
            </w:r>
          </w:p>
        </w:tc>
        <w:tc>
          <w:tcPr>
            <w:tcW w:w="122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2.16</w:t>
            </w:r>
          </w:p>
        </w:tc>
        <w:tc>
          <w:tcPr>
            <w:tcW w:w="115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1.92</w:t>
            </w:r>
          </w:p>
        </w:tc>
        <w:tc>
          <w:tcPr>
            <w:tcW w:w="126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1.68</w:t>
            </w:r>
          </w:p>
        </w:tc>
        <w:tc>
          <w:tcPr>
            <w:tcW w:w="1019"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315"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3</w:t>
            </w:r>
          </w:p>
        </w:tc>
        <w:tc>
          <w:tcPr>
            <w:tcW w:w="1442"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结算审核（抽查）</w:t>
            </w:r>
          </w:p>
        </w:tc>
        <w:tc>
          <w:tcPr>
            <w:tcW w:w="115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送审造价</w:t>
            </w:r>
          </w:p>
        </w:tc>
        <w:tc>
          <w:tcPr>
            <w:tcW w:w="883"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2.8</w:t>
            </w:r>
          </w:p>
        </w:tc>
        <w:tc>
          <w:tcPr>
            <w:tcW w:w="1025"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2.5</w:t>
            </w:r>
          </w:p>
        </w:tc>
        <w:tc>
          <w:tcPr>
            <w:tcW w:w="1117"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2.2</w:t>
            </w:r>
          </w:p>
        </w:tc>
        <w:tc>
          <w:tcPr>
            <w:tcW w:w="122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1.9</w:t>
            </w:r>
          </w:p>
        </w:tc>
        <w:tc>
          <w:tcPr>
            <w:tcW w:w="115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1.6</w:t>
            </w:r>
          </w:p>
        </w:tc>
        <w:tc>
          <w:tcPr>
            <w:tcW w:w="126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1.3</w:t>
            </w:r>
          </w:p>
        </w:tc>
        <w:tc>
          <w:tcPr>
            <w:tcW w:w="1019"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1.0</w:t>
            </w:r>
          </w:p>
        </w:tc>
      </w:tr>
      <w:bookmarkEnd w:id="2"/>
    </w:tbl>
    <w:p>
      <w:pPr>
        <w:adjustRightInd w:val="0"/>
        <w:snapToGrid w:val="0"/>
        <w:spacing w:line="440" w:lineRule="exact"/>
        <w:ind w:firstLine="424" w:firstLineChars="177"/>
        <w:rPr>
          <w:sz w:val="24"/>
        </w:rPr>
      </w:pPr>
      <w:r>
        <w:rPr>
          <w:rFonts w:hint="eastAsia"/>
          <w:sz w:val="24"/>
        </w:rPr>
        <w:t>注：⑴本咨询服务费已包含钢筋及预埋件的单独计算。</w:t>
      </w:r>
    </w:p>
    <w:p>
      <w:pPr>
        <w:adjustRightInd w:val="0"/>
        <w:snapToGrid w:val="0"/>
        <w:spacing w:line="440" w:lineRule="exact"/>
        <w:ind w:firstLine="424" w:firstLineChars="177"/>
        <w:rPr>
          <w:sz w:val="24"/>
        </w:rPr>
      </w:pPr>
      <w:r>
        <w:rPr>
          <w:rFonts w:hint="eastAsia"/>
          <w:sz w:val="24"/>
        </w:rPr>
        <w:t>⑵概算审核（抽查）仅按建安工程费作为收费基数。</w:t>
      </w:r>
    </w:p>
    <w:p>
      <w:pPr>
        <w:adjustRightInd w:val="0"/>
        <w:snapToGrid w:val="0"/>
        <w:spacing w:line="440" w:lineRule="exact"/>
        <w:ind w:firstLine="424" w:firstLineChars="177"/>
        <w:rPr>
          <w:sz w:val="24"/>
        </w:rPr>
      </w:pPr>
      <w:r>
        <w:rPr>
          <w:rFonts w:hint="eastAsia"/>
          <w:sz w:val="24"/>
        </w:rPr>
        <w:t>⑶审核费用按照浦财审【2022】1号或后续修改的文件经考核后每年集中支付2次。</w:t>
      </w:r>
    </w:p>
    <w:p>
      <w:pPr>
        <w:adjustRightInd w:val="0"/>
        <w:snapToGrid w:val="0"/>
        <w:spacing w:line="440" w:lineRule="exact"/>
        <w:ind w:firstLine="424" w:firstLineChars="177"/>
        <w:rPr>
          <w:sz w:val="24"/>
        </w:rPr>
      </w:pPr>
      <w:r>
        <w:rPr>
          <w:rFonts w:hint="eastAsia"/>
          <w:sz w:val="24"/>
        </w:rPr>
        <w:t>⑷本费用标准适用于房屋建筑和市政建设工程、水利工程、公路工程等。</w:t>
      </w:r>
    </w:p>
    <w:p>
      <w:pPr>
        <w:adjustRightInd w:val="0"/>
        <w:snapToGrid w:val="0"/>
        <w:spacing w:line="440" w:lineRule="exact"/>
        <w:ind w:firstLine="424" w:firstLineChars="177"/>
        <w:rPr>
          <w:color w:val="C00000"/>
          <w:sz w:val="24"/>
          <w:szCs w:val="24"/>
        </w:rPr>
      </w:pPr>
      <w:r>
        <w:rPr>
          <w:rFonts w:hint="eastAsia"/>
          <w:sz w:val="24"/>
          <w:szCs w:val="24"/>
        </w:rPr>
        <w:t>（5）抽查审核的收费基数以一审造价为准。</w:t>
      </w:r>
    </w:p>
    <w:p>
      <w:pPr>
        <w:adjustRightInd w:val="0"/>
        <w:snapToGrid w:val="0"/>
        <w:spacing w:line="440" w:lineRule="exact"/>
        <w:ind w:firstLine="424" w:firstLineChars="177"/>
        <w:rPr>
          <w:sz w:val="24"/>
        </w:rPr>
      </w:pPr>
      <w:r>
        <w:rPr>
          <w:rFonts w:hint="eastAsia"/>
          <w:sz w:val="24"/>
        </w:rPr>
        <w:t>▲⑹折扣率所填数值（百分符号前面的数）须为大于0小于等于70的整数。如折扣率填62%、65%、70%有效，填62.5%、65.15%、0%无效。</w:t>
      </w:r>
    </w:p>
    <w:p>
      <w:pPr>
        <w:pStyle w:val="2"/>
      </w:pPr>
      <w:r>
        <w:rPr>
          <w:rFonts w:hint="eastAsia" w:hAnsi="宋体" w:cs="宋体"/>
        </w:rPr>
        <w:t xml:space="preserve">    </w:t>
      </w:r>
      <w:r>
        <w:rPr>
          <w:rFonts w:hint="eastAsia"/>
        </w:rPr>
        <w:t>▲特别约定事项：征集文件和政采云报价系统中出现的优惠率、折扣率等表述都理解为折扣，投标报价用折扣百分比（“XX%”）表示，即如原价为100元，打折扣或优惠后的价格为70元，则在本项目的报价中理解为：折扣=折扣率=优惠率=70%，折扣百分比越小优惠越大。</w:t>
      </w:r>
    </w:p>
    <w:p>
      <w:pPr>
        <w:adjustRightInd w:val="0"/>
        <w:snapToGrid w:val="0"/>
        <w:spacing w:line="440" w:lineRule="exact"/>
        <w:ind w:firstLine="424" w:firstLineChars="177"/>
      </w:pPr>
      <w:r>
        <w:rPr>
          <w:rFonts w:hint="eastAsia"/>
          <w:sz w:val="24"/>
        </w:rPr>
        <w:t>▲⑺供应商响应折扣率低于30%的，应当在报价响应文件中详细阐述不影响诚信履约的具体原因。</w:t>
      </w:r>
    </w:p>
    <w:p>
      <w:pPr>
        <w:adjustRightInd w:val="0"/>
        <w:snapToGrid w:val="0"/>
        <w:spacing w:line="440" w:lineRule="exact"/>
        <w:ind w:firstLine="424" w:firstLineChars="177"/>
        <w:rPr>
          <w:sz w:val="24"/>
        </w:rPr>
      </w:pPr>
      <w:r>
        <w:rPr>
          <w:rFonts w:hint="eastAsia"/>
          <w:sz w:val="24"/>
        </w:rPr>
        <w:t>3.结算审核追加费由施工单位承担，追加费的计算方法可参考《浙江省物价局关于进一步完善工程造价咨询服务收费的通知》（浙价服〔2009〕84号）文件，双方协商确认。</w:t>
      </w:r>
    </w:p>
    <w:p>
      <w:pPr>
        <w:pStyle w:val="3"/>
        <w:spacing w:before="0" w:after="0" w:line="360" w:lineRule="auto"/>
        <w:ind w:firstLine="424" w:firstLineChars="151"/>
        <w:rPr>
          <w:sz w:val="28"/>
        </w:rPr>
      </w:pPr>
      <w:r>
        <w:rPr>
          <w:rFonts w:hint="eastAsia"/>
          <w:sz w:val="28"/>
        </w:rPr>
        <w:t>七、履约方式及程序</w:t>
      </w:r>
    </w:p>
    <w:p>
      <w:pPr>
        <w:snapToGrid w:val="0"/>
        <w:spacing w:line="460" w:lineRule="exact"/>
        <w:ind w:firstLine="480" w:firstLineChars="200"/>
        <w:rPr>
          <w:sz w:val="24"/>
        </w:rPr>
      </w:pPr>
      <w:r>
        <w:rPr>
          <w:rFonts w:hint="eastAsia"/>
          <w:sz w:val="24"/>
        </w:rPr>
        <w:t>1.协议签订：浦江县</w:t>
      </w:r>
      <w:r>
        <w:rPr>
          <w:rFonts w:hint="eastAsia" w:ascii="宋体" w:hAnsi="宋体"/>
          <w:sz w:val="24"/>
          <w:szCs w:val="20"/>
        </w:rPr>
        <w:t>财政项目预算审核中心</w:t>
      </w:r>
      <w:r>
        <w:rPr>
          <w:rFonts w:hint="eastAsia"/>
          <w:sz w:val="24"/>
        </w:rPr>
        <w:t>与入围供应商签订框架协议。</w:t>
      </w:r>
    </w:p>
    <w:p>
      <w:pPr>
        <w:snapToGrid w:val="0"/>
        <w:spacing w:line="460" w:lineRule="exact"/>
        <w:ind w:firstLine="480" w:firstLineChars="200"/>
        <w:rPr>
          <w:sz w:val="24"/>
        </w:rPr>
      </w:pPr>
      <w:r>
        <w:rPr>
          <w:rFonts w:hint="eastAsia"/>
          <w:sz w:val="24"/>
        </w:rPr>
        <w:t>2. 成交供应商的确定：本次框架协议第二阶段成交供应商的确定方式为直接选定。采购人依据入围供应商报价、服务质量及便利性、用户评价等因素，按照浦财审【2022】1号或后续修改（补充）文件，从入围供应商中直接选定，并授予合同。</w:t>
      </w:r>
    </w:p>
    <w:p>
      <w:pPr>
        <w:widowControl/>
        <w:snapToGrid w:val="0"/>
        <w:spacing w:line="440" w:lineRule="exact"/>
        <w:ind w:firstLine="480" w:firstLineChars="200"/>
        <w:rPr>
          <w:sz w:val="24"/>
        </w:rPr>
      </w:pPr>
      <w:r>
        <w:rPr>
          <w:rFonts w:hint="eastAsia"/>
          <w:sz w:val="24"/>
        </w:rPr>
        <w:t>3.成交价格：入围供应商的响应报价是采购人确定第二阶段成交供应商的最高限价，采购人可以与成交供应商在限价范围内协商确定最终成交价格。</w:t>
      </w:r>
    </w:p>
    <w:p>
      <w:pPr>
        <w:pStyle w:val="3"/>
        <w:spacing w:before="0" w:after="0" w:line="360" w:lineRule="auto"/>
        <w:ind w:firstLine="424" w:firstLineChars="151"/>
        <w:rPr>
          <w:sz w:val="28"/>
        </w:rPr>
      </w:pPr>
      <w:r>
        <w:rPr>
          <w:rFonts w:hint="eastAsia"/>
          <w:sz w:val="28"/>
        </w:rPr>
        <w:t>八、入围供应商清退及违约责任</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（一）入围供应商清退规则</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 xml:space="preserve">1.入围供应商有下列情形之一，尚未签订框架协议的，取消其入围资格；已经签订框架协议的，解除与其签订的框架协议： </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 xml:space="preserve">⑴恶意串通谋取入围或者合同成交的； </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 xml:space="preserve">⑵提供虚假材料谋取入围或者合同成交的； </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 xml:space="preserve">⑶无正当理由拒不签订框架协议或接受合同授予的； </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 xml:space="preserve">⑷不履行合同义务或者履行合同义务不符合约定，经采购人请求履行后仍不履行或者仍未按约定履行的； </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⑸框架协议有效期内，因违法行为被禁止或限制参加政府采购活动的；</w:t>
      </w:r>
    </w:p>
    <w:p>
      <w:pPr>
        <w:spacing w:line="360" w:lineRule="auto"/>
        <w:ind w:firstLine="480" w:firstLineChars="200"/>
        <w:rPr>
          <w:rFonts w:ascii="宋体" w:hAnsi="Courier New" w:eastAsia="宋体" w:cs="Times New Roman"/>
          <w:sz w:val="24"/>
          <w:szCs w:val="24"/>
        </w:rPr>
      </w:pPr>
      <w:r>
        <w:rPr>
          <w:rFonts w:hint="eastAsia" w:ascii="宋体" w:hAnsi="Courier New" w:eastAsia="宋体" w:cs="Times New Roman"/>
          <w:sz w:val="24"/>
          <w:szCs w:val="24"/>
        </w:rPr>
        <w:t xml:space="preserve">⑹框架协议约定的其他情形。 </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2.入围供应商如发生实质性变动（营业执照注销、不再符合本项目资格条件等）的，尚未签订框架协议的，取消其入围资格；已经签订框架协议的，解除与其签订的框架协议。</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 xml:space="preserve">3.被取消入围资格或者被解除框架协议的供应商不得参加本封闭式框架协议补充征集。 </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（二）违约责任</w:t>
      </w:r>
    </w:p>
    <w:p>
      <w:pPr>
        <w:spacing w:line="440" w:lineRule="exact"/>
        <w:ind w:firstLine="523" w:firstLineChars="218"/>
        <w:jc w:val="left"/>
        <w:rPr>
          <w:rFonts w:ascii="宋体" w:hAnsi="Courier New" w:eastAsia="宋体" w:cs="Times New Roman"/>
          <w:sz w:val="24"/>
          <w:szCs w:val="24"/>
        </w:rPr>
      </w:pPr>
      <w:r>
        <w:rPr>
          <w:rFonts w:hint="eastAsia" w:ascii="宋体" w:hAnsi="Courier New" w:eastAsia="宋体" w:cs="Times New Roman"/>
          <w:sz w:val="24"/>
          <w:szCs w:val="24"/>
        </w:rPr>
        <w:t>1.征集人、采购人与响应方双方要严格按协议书履约；</w:t>
      </w:r>
    </w:p>
    <w:p>
      <w:pPr>
        <w:spacing w:line="440" w:lineRule="exact"/>
        <w:ind w:firstLine="523" w:firstLineChars="218"/>
        <w:jc w:val="left"/>
        <w:rPr>
          <w:rFonts w:ascii="宋体" w:hAnsi="Courier New" w:eastAsia="宋体" w:cs="Times New Roman"/>
          <w:sz w:val="24"/>
          <w:szCs w:val="24"/>
        </w:rPr>
      </w:pPr>
      <w:r>
        <w:rPr>
          <w:rFonts w:hint="eastAsia" w:ascii="宋体" w:hAnsi="Courier New" w:eastAsia="宋体" w:cs="Times New Roman"/>
          <w:sz w:val="24"/>
          <w:szCs w:val="24"/>
        </w:rPr>
        <w:t>2.如征集人、采购人违反本项目征集文件和协议书的有关规定，响应方有权向财政部门反映；</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3.如响应方违反本项目征集文件和协议书的有关规定，征集人有权根据本项目征集文件、协议书的规定对乙方进行处理，必要时按规定解除协议。</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4. 合同履行过程中，有其他违约情况的按照浦财审【2022】1号或后续修改（补充）文件执行。</w:t>
      </w:r>
    </w:p>
    <w:p>
      <w:pPr>
        <w:pStyle w:val="3"/>
        <w:spacing w:before="0" w:after="0" w:line="360" w:lineRule="auto"/>
        <w:ind w:firstLine="424" w:firstLineChars="151"/>
        <w:rPr>
          <w:sz w:val="28"/>
        </w:rPr>
      </w:pPr>
      <w:r>
        <w:rPr>
          <w:rFonts w:hint="eastAsia"/>
          <w:sz w:val="28"/>
        </w:rPr>
        <w:t>九、入围供应商补充规则</w:t>
      </w:r>
    </w:p>
    <w:p>
      <w:pPr>
        <w:snapToGrid w:val="0"/>
        <w:spacing w:line="460" w:lineRule="exact"/>
        <w:ind w:firstLine="480" w:firstLineChars="200"/>
        <w:rPr>
          <w:rFonts w:ascii="宋体" w:hAnsi="宋体" w:eastAsia="宋体" w:cs="宋体"/>
          <w:sz w:val="24"/>
        </w:rPr>
      </w:pPr>
      <w:r>
        <w:rPr>
          <w:rFonts w:hint="eastAsia" w:ascii="宋体" w:hAnsi="宋体" w:eastAsia="宋体" w:cs="宋体"/>
          <w:sz w:val="24"/>
        </w:rPr>
        <w:t>框架协议有效期内如出现剩余入围供应商不足入围供应商总数70%且影响框架协议执行的情形，征集人将启动补充征集工作（协议期限：</w:t>
      </w:r>
      <w:r>
        <w:rPr>
          <w:rFonts w:hint="eastAsia"/>
          <w:sz w:val="24"/>
        </w:rPr>
        <w:t>2024年5月1日—2026年4月30日</w:t>
      </w:r>
      <w:r>
        <w:rPr>
          <w:rFonts w:hint="eastAsia" w:ascii="宋体" w:hAnsi="宋体" w:eastAsia="宋体" w:cs="宋体"/>
          <w:sz w:val="24"/>
        </w:rPr>
        <w:t>）。</w:t>
      </w:r>
    </w:p>
    <w:p>
      <w:pPr>
        <w:snapToGrid w:val="0"/>
        <w:spacing w:line="460" w:lineRule="exact"/>
        <w:ind w:firstLine="480" w:firstLineChars="200"/>
        <w:rPr>
          <w:rFonts w:ascii="宋体" w:hAnsi="宋体" w:eastAsia="宋体" w:cs="宋体"/>
          <w:sz w:val="24"/>
        </w:rPr>
      </w:pPr>
      <w:r>
        <w:rPr>
          <w:rFonts w:hint="eastAsia" w:ascii="宋体" w:hAnsi="宋体" w:eastAsia="宋体" w:cs="宋体"/>
          <w:sz w:val="24"/>
        </w:rPr>
        <w:t>1.补充征集的条件、程序、评审方法和淘汰比例与初次征集相同。</w:t>
      </w:r>
    </w:p>
    <w:p>
      <w:pPr>
        <w:snapToGrid w:val="0"/>
        <w:spacing w:line="460" w:lineRule="exact"/>
        <w:ind w:firstLine="480" w:firstLineChars="200"/>
        <w:rPr>
          <w:rFonts w:ascii="宋体" w:hAnsi="宋体" w:eastAsia="宋体" w:cs="宋体"/>
          <w:sz w:val="24"/>
        </w:rPr>
      </w:pPr>
      <w:r>
        <w:rPr>
          <w:rFonts w:hint="eastAsia" w:ascii="宋体" w:hAnsi="宋体" w:eastAsia="宋体" w:cs="宋体"/>
          <w:sz w:val="24"/>
        </w:rPr>
        <w:t>2.补充征集遵守原框架协议的有效期。</w:t>
      </w:r>
    </w:p>
    <w:p>
      <w:pPr>
        <w:snapToGrid w:val="0"/>
        <w:spacing w:line="460" w:lineRule="exact"/>
        <w:ind w:firstLine="480" w:firstLineChars="200"/>
        <w:rPr>
          <w:rFonts w:ascii="宋体" w:hAnsi="宋体" w:eastAsia="宋体" w:cs="宋体"/>
          <w:sz w:val="24"/>
        </w:rPr>
      </w:pPr>
      <w:r>
        <w:rPr>
          <w:rFonts w:hint="eastAsia" w:ascii="宋体" w:hAnsi="宋体" w:eastAsia="宋体" w:cs="宋体"/>
          <w:sz w:val="24"/>
        </w:rPr>
        <w:t>3.补充征集期间，原框架协议继续履行。</w:t>
      </w:r>
    </w:p>
    <w:p>
      <w:pPr>
        <w:pStyle w:val="3"/>
        <w:spacing w:before="0" w:after="0" w:line="360" w:lineRule="auto"/>
        <w:ind w:firstLine="424" w:firstLineChars="151"/>
        <w:rPr>
          <w:sz w:val="28"/>
        </w:rPr>
      </w:pPr>
      <w:r>
        <w:rPr>
          <w:rFonts w:hint="eastAsia"/>
          <w:sz w:val="28"/>
        </w:rPr>
        <w:t>十、其他事项</w:t>
      </w:r>
    </w:p>
    <w:p>
      <w:pPr>
        <w:snapToGrid w:val="0"/>
        <w:spacing w:line="460" w:lineRule="exact"/>
        <w:ind w:firstLine="480" w:firstLineChars="200"/>
        <w:rPr>
          <w:rFonts w:ascii="宋体" w:hAnsi="宋体" w:eastAsia="宋体" w:cs="宋体"/>
          <w:sz w:val="24"/>
        </w:rPr>
      </w:pPr>
      <w:r>
        <w:rPr>
          <w:rFonts w:hint="eastAsia" w:ascii="宋体" w:hAnsi="宋体" w:eastAsia="宋体" w:cs="宋体"/>
          <w:sz w:val="24"/>
        </w:rPr>
        <w:t>（一）供应商通过框架协议模块参与框架协议，相关系统操作详见浙江政府采购网（</w:t>
      </w:r>
      <w:r>
        <w:fldChar w:fldCharType="begin"/>
      </w:r>
      <w:r>
        <w:instrText xml:space="preserve"> HYPERLINK "http://zfcg.czt.zj.gov.cn/" </w:instrText>
      </w:r>
      <w:r>
        <w:fldChar w:fldCharType="separate"/>
      </w:r>
      <w:r>
        <w:rPr>
          <w:rFonts w:hint="eastAsia" w:ascii="宋体" w:hAnsi="宋体" w:eastAsia="宋体" w:cs="宋体"/>
          <w:sz w:val="24"/>
        </w:rPr>
        <w:t>http://zfcg.czt.zj.gov.cn/</w:t>
      </w:r>
      <w:r>
        <w:rPr>
          <w:rFonts w:hint="eastAsia" w:ascii="宋体" w:hAnsi="宋体" w:eastAsia="宋体" w:cs="宋体"/>
          <w:sz w:val="24"/>
        </w:rPr>
        <w:fldChar w:fldCharType="end"/>
      </w:r>
      <w:r>
        <w:rPr>
          <w:rFonts w:hint="eastAsia" w:ascii="宋体" w:hAnsi="宋体" w:eastAsia="宋体" w:cs="宋体"/>
          <w:sz w:val="24"/>
        </w:rPr>
        <w:t>）“网上办事指南”模块下载操作手册。</w:t>
      </w:r>
    </w:p>
    <w:p>
      <w:pPr>
        <w:snapToGrid w:val="0"/>
        <w:spacing w:line="460" w:lineRule="exact"/>
        <w:ind w:firstLine="480" w:firstLineChars="200"/>
        <w:rPr>
          <w:rFonts w:ascii="宋体" w:hAnsi="宋体" w:eastAsia="宋体" w:cs="宋体"/>
          <w:sz w:val="24"/>
        </w:rPr>
      </w:pPr>
      <w:r>
        <w:rPr>
          <w:rFonts w:hint="eastAsia" w:ascii="宋体" w:hAnsi="宋体" w:eastAsia="宋体" w:cs="宋体"/>
          <w:sz w:val="24"/>
        </w:rPr>
        <w:t>（二）征集人将通过框架协议模块建立用户反馈和评价机制，接受采购人和服务对象对入围供应商履行框架协议和采购合同情况的反馈与评价，并将用户反馈和评价情况向采购人和服务对象公开，作为第二阶段直接选定成交供应商的参考。</w:t>
      </w:r>
    </w:p>
    <w:p>
      <w:pPr>
        <w:adjustRightInd w:val="0"/>
        <w:snapToGrid w:val="0"/>
        <w:spacing w:line="440" w:lineRule="exact"/>
        <w:ind w:firstLine="480" w:firstLineChars="200"/>
        <w:rPr>
          <w:rFonts w:ascii="宋体" w:hAnsi="宋体" w:eastAsia="宋体"/>
          <w:sz w:val="24"/>
          <w:szCs w:val="24"/>
        </w:rPr>
        <w:sectPr>
          <w:pgSz w:w="11906" w:h="16838"/>
          <w:pgMar w:top="1440" w:right="1800" w:bottom="1440" w:left="1800" w:header="851" w:footer="992" w:gutter="0"/>
          <w:cols w:space="425" w:num="1"/>
          <w:docGrid w:type="lines" w:linePitch="312" w:charSpace="0"/>
        </w:sectPr>
      </w:pPr>
    </w:p>
    <w:p>
      <w:pPr>
        <w:adjustRightInd w:val="0"/>
        <w:snapToGrid w:val="0"/>
        <w:spacing w:line="440" w:lineRule="exact"/>
        <w:ind w:firstLine="480" w:firstLineChars="200"/>
      </w:pPr>
      <w:r>
        <w:rPr>
          <w:rFonts w:hint="eastAsia" w:ascii="宋体" w:hAnsi="宋体" w:eastAsia="宋体"/>
          <w:sz w:val="24"/>
          <w:szCs w:val="24"/>
        </w:rPr>
        <w:t>附件1：浦财审【2022】1号</w:t>
      </w:r>
    </w:p>
    <w:p>
      <w:pPr>
        <w:adjustRightInd w:val="0"/>
        <w:snapToGrid w:val="0"/>
      </w:pPr>
      <w:r>
        <w:drawing>
          <wp:inline distT="0" distB="0" distL="0" distR="0">
            <wp:extent cx="5274310" cy="7254875"/>
            <wp:effectExtent l="0" t="0" r="2540" b="3175"/>
            <wp:docPr id="3" name="图片 3" descr="D:\我的文档\WeChat Files\wxid_6519045190312\FileStorage\Temp\1708584067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我的文档\WeChat Files\wxid_6519045190312\FileStorage\Temp\170858406724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7254875"/>
                    </a:xfrm>
                    <a:prstGeom prst="rect">
                      <a:avLst/>
                    </a:prstGeom>
                    <a:noFill/>
                    <a:ln>
                      <a:noFill/>
                    </a:ln>
                  </pic:spPr>
                </pic:pic>
              </a:graphicData>
            </a:graphic>
          </wp:inline>
        </w:drawing>
      </w:r>
    </w:p>
    <w:p>
      <w:r>
        <w:drawing>
          <wp:inline distT="0" distB="0" distL="0" distR="0">
            <wp:extent cx="5274310" cy="7277735"/>
            <wp:effectExtent l="0" t="0" r="2540" b="0"/>
            <wp:docPr id="4" name="图片 4" descr="D:\我的文档\WeChat Files\wxid_6519045190312\FileStorage\Temp\1708584112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我的文档\WeChat Files\wxid_6519045190312\FileStorage\Temp\170858411206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7278211"/>
                    </a:xfrm>
                    <a:prstGeom prst="rect">
                      <a:avLst/>
                    </a:prstGeom>
                    <a:noFill/>
                    <a:ln>
                      <a:noFill/>
                    </a:ln>
                  </pic:spPr>
                </pic:pic>
              </a:graphicData>
            </a:graphic>
          </wp:inline>
        </w:drawing>
      </w:r>
    </w:p>
    <w:p>
      <w:pPr>
        <w:rPr>
          <w:rFonts w:ascii="Times New Roman" w:hAnsi="Times New Roman" w:cs="Times New Roman"/>
          <w:snapToGrid w:val="0"/>
          <w:w w:val="0"/>
          <w:kern w:val="0"/>
          <w:sz w:val="0"/>
          <w:szCs w:val="0"/>
          <w:u w:color="000000"/>
          <w:shd w:val="clear" w:color="000000" w:fill="000000"/>
          <w:lang w:val="zh-CN" w:bidi="zh-CN"/>
        </w:rPr>
      </w:pPr>
      <w:r>
        <w:drawing>
          <wp:inline distT="0" distB="0" distL="0" distR="0">
            <wp:extent cx="5274310" cy="7159625"/>
            <wp:effectExtent l="0" t="0" r="2540" b="3175"/>
            <wp:docPr id="5" name="图片 5" descr="D:\我的文档\WeChat Files\wxid_6519045190312\FileStorage\Temp\17085841368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我的文档\WeChat Files\wxid_6519045190312\FileStorage\Temp\170858413687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4310" cy="7160224"/>
                    </a:xfrm>
                    <a:prstGeom prst="rect">
                      <a:avLst/>
                    </a:prstGeom>
                    <a:noFill/>
                    <a:ln>
                      <a:noFill/>
                    </a:ln>
                  </pic:spPr>
                </pic:pic>
              </a:graphicData>
            </a:graphic>
          </wp:inline>
        </w:drawing>
      </w:r>
      <w:r>
        <w:rPr>
          <w:rFonts w:ascii="Times New Roman" w:hAnsi="Times New Roman" w:eastAsia="Times New Roman" w:cs="Times New Roman"/>
          <w:snapToGrid w:val="0"/>
          <w:w w:val="0"/>
          <w:kern w:val="0"/>
          <w:sz w:val="0"/>
          <w:szCs w:val="0"/>
          <w:u w:color="000000"/>
          <w:shd w:val="clear" w:color="000000" w:fill="000000"/>
          <w:lang w:val="zh-CN" w:bidi="zh-CN"/>
        </w:rPr>
        <w:t xml:space="preserve"> </w:t>
      </w:r>
      <w:r>
        <w:drawing>
          <wp:inline distT="0" distB="0" distL="0" distR="0">
            <wp:extent cx="5274310" cy="7439660"/>
            <wp:effectExtent l="0" t="0" r="2540" b="8890"/>
            <wp:docPr id="6" name="图片 6" descr="D:\我的文档\WeChat Files\wxid_6519045190312\FileStorage\Temp\1708584157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我的文档\WeChat Files\wxid_6519045190312\FileStorage\Temp\170858415735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7440053"/>
                    </a:xfrm>
                    <a:prstGeom prst="rect">
                      <a:avLst/>
                    </a:prstGeom>
                    <a:noFill/>
                    <a:ln>
                      <a:noFill/>
                    </a:ln>
                  </pic:spPr>
                </pic:pic>
              </a:graphicData>
            </a:graphic>
          </wp:inline>
        </w:drawing>
      </w:r>
      <w:r>
        <w:rPr>
          <w:rFonts w:ascii="Times New Roman" w:hAnsi="Times New Roman" w:eastAsia="Times New Roman" w:cs="Times New Roman"/>
          <w:snapToGrid w:val="0"/>
          <w:w w:val="0"/>
          <w:kern w:val="0"/>
          <w:sz w:val="0"/>
          <w:szCs w:val="0"/>
          <w:u w:color="000000"/>
          <w:shd w:val="clear" w:color="000000" w:fill="000000"/>
          <w:lang w:val="zh-CN" w:bidi="zh-CN"/>
        </w:rPr>
        <w:t xml:space="preserve"> </w:t>
      </w:r>
      <w:r>
        <w:rPr>
          <w:rFonts w:ascii="Times New Roman" w:hAnsi="Times New Roman" w:eastAsia="Times New Roman" w:cs="Times New Roman"/>
          <w:w w:val="0"/>
          <w:kern w:val="0"/>
          <w:sz w:val="0"/>
          <w:szCs w:val="0"/>
          <w:u w:color="000000"/>
          <w:shd w:val="clear" w:color="000000" w:fill="000000"/>
        </w:rPr>
        <w:drawing>
          <wp:inline distT="0" distB="0" distL="0" distR="0">
            <wp:extent cx="5274310" cy="7325995"/>
            <wp:effectExtent l="0" t="0" r="2540" b="8255"/>
            <wp:docPr id="7" name="图片 7" descr="D:\我的文档\WeChat Files\wxid_6519045190312\FileStorage\Temp\1708584174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我的文档\WeChat Files\wxid_6519045190312\FileStorage\Temp\170858417485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4310" cy="7326314"/>
                    </a:xfrm>
                    <a:prstGeom prst="rect">
                      <a:avLst/>
                    </a:prstGeom>
                    <a:noFill/>
                    <a:ln>
                      <a:noFill/>
                    </a:ln>
                  </pic:spPr>
                </pic:pic>
              </a:graphicData>
            </a:graphic>
          </wp:inline>
        </w:drawing>
      </w:r>
      <w:r>
        <w:rPr>
          <w:rFonts w:ascii="Times New Roman" w:hAnsi="Times New Roman" w:eastAsia="Times New Roman" w:cs="Times New Roman"/>
          <w:snapToGrid w:val="0"/>
          <w:w w:val="0"/>
          <w:kern w:val="0"/>
          <w:sz w:val="0"/>
          <w:szCs w:val="0"/>
          <w:u w:color="000000"/>
          <w:shd w:val="clear" w:color="000000" w:fill="000000"/>
          <w:lang w:val="zh-CN" w:bidi="zh-CN"/>
        </w:rPr>
        <w:t xml:space="preserve"> </w:t>
      </w:r>
      <w:r>
        <w:rPr>
          <w:rFonts w:ascii="Times New Roman" w:hAnsi="Times New Roman" w:eastAsia="Times New Roman" w:cs="Times New Roman"/>
          <w:w w:val="0"/>
          <w:kern w:val="0"/>
          <w:sz w:val="0"/>
          <w:szCs w:val="0"/>
          <w:u w:color="000000"/>
          <w:shd w:val="clear" w:color="000000" w:fill="000000"/>
        </w:rPr>
        <w:drawing>
          <wp:inline distT="0" distB="0" distL="0" distR="0">
            <wp:extent cx="5081270" cy="7703185"/>
            <wp:effectExtent l="0" t="0" r="5080" b="0"/>
            <wp:docPr id="8" name="图片 8" descr="D:\我的文档\WeChat Files\wxid_6519045190312\FileStorage\Temp\1708584196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我的文档\WeChat Files\wxid_6519045190312\FileStorage\Temp\170858419645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081270" cy="7703185"/>
                    </a:xfrm>
                    <a:prstGeom prst="rect">
                      <a:avLst/>
                    </a:prstGeom>
                    <a:noFill/>
                    <a:ln>
                      <a:noFill/>
                    </a:ln>
                  </pic:spPr>
                </pic:pic>
              </a:graphicData>
            </a:graphic>
          </wp:inline>
        </w:drawing>
      </w:r>
    </w:p>
    <w:p>
      <w:pPr>
        <w:pStyle w:val="2"/>
        <w:rPr>
          <w:lang w:val="zh-CN" w:bidi="zh-CN"/>
        </w:rPr>
        <w:sectPr>
          <w:pgSz w:w="11906" w:h="16838"/>
          <w:pgMar w:top="1440" w:right="1800" w:bottom="1440" w:left="1800" w:header="851" w:footer="992" w:gutter="0"/>
          <w:cols w:space="425" w:num="1"/>
          <w:docGrid w:type="lines" w:linePitch="312" w:charSpace="0"/>
        </w:sectPr>
      </w:pPr>
    </w:p>
    <w:p>
      <w:pPr>
        <w:pStyle w:val="2"/>
      </w:pPr>
      <w:bookmarkStart w:id="3" w:name="_Toc157175691"/>
      <w:r>
        <w:rPr>
          <w:rFonts w:hint="eastAsia"/>
        </w:rPr>
        <w:t>第三章 响应方须知</w:t>
      </w:r>
      <w:bookmarkEnd w:id="3"/>
    </w:p>
    <w:p>
      <w:pPr>
        <w:pStyle w:val="3"/>
        <w:spacing w:before="0" w:after="0" w:line="360" w:lineRule="auto"/>
        <w:ind w:firstLine="371" w:firstLineChars="132"/>
        <w:jc w:val="center"/>
        <w:rPr>
          <w:sz w:val="28"/>
        </w:rPr>
      </w:pPr>
      <w:r>
        <w:rPr>
          <w:rFonts w:hint="eastAsia"/>
          <w:sz w:val="28"/>
        </w:rPr>
        <w:t>前 附 表</w:t>
      </w:r>
    </w:p>
    <w:tbl>
      <w:tblPr>
        <w:tblStyle w:val="2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353"/>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spacing w:line="360" w:lineRule="auto"/>
              <w:jc w:val="center"/>
              <w:rPr>
                <w:rFonts w:ascii="宋体" w:hAnsi="宋体" w:eastAsia="宋体"/>
                <w:sz w:val="24"/>
                <w:szCs w:val="24"/>
              </w:rPr>
            </w:pPr>
            <w:r>
              <w:rPr>
                <w:rFonts w:hint="eastAsia" w:ascii="宋体" w:hAnsi="宋体" w:eastAsia="宋体"/>
                <w:sz w:val="24"/>
                <w:szCs w:val="24"/>
              </w:rPr>
              <w:t>序号</w:t>
            </w:r>
          </w:p>
        </w:tc>
        <w:tc>
          <w:tcPr>
            <w:tcW w:w="1353" w:type="dxa"/>
          </w:tcPr>
          <w:p>
            <w:pPr>
              <w:spacing w:line="360" w:lineRule="auto"/>
              <w:jc w:val="center"/>
              <w:rPr>
                <w:rFonts w:ascii="宋体" w:hAnsi="宋体" w:eastAsia="宋体"/>
                <w:sz w:val="24"/>
                <w:szCs w:val="24"/>
              </w:rPr>
            </w:pPr>
            <w:r>
              <w:rPr>
                <w:rFonts w:hint="eastAsia" w:ascii="宋体" w:hAnsi="宋体" w:eastAsia="宋体"/>
                <w:sz w:val="24"/>
                <w:szCs w:val="24"/>
              </w:rPr>
              <w:t>内容</w:t>
            </w:r>
          </w:p>
        </w:tc>
        <w:tc>
          <w:tcPr>
            <w:tcW w:w="7479" w:type="dxa"/>
          </w:tcPr>
          <w:p>
            <w:pPr>
              <w:spacing w:line="360" w:lineRule="auto"/>
              <w:jc w:val="center"/>
              <w:rPr>
                <w:rFonts w:ascii="宋体" w:hAnsi="宋体" w:eastAsia="宋体"/>
                <w:sz w:val="24"/>
                <w:szCs w:val="24"/>
              </w:rPr>
            </w:pPr>
            <w:r>
              <w:rPr>
                <w:rFonts w:hint="eastAsia" w:ascii="宋体" w:hAnsi="宋体" w:eastAsia="宋体"/>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1</w:t>
            </w:r>
          </w:p>
        </w:tc>
        <w:tc>
          <w:tcPr>
            <w:tcW w:w="1353" w:type="dxa"/>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项目名称及采购数量</w:t>
            </w:r>
          </w:p>
        </w:tc>
        <w:tc>
          <w:tcPr>
            <w:tcW w:w="7479" w:type="dxa"/>
            <w:vAlign w:val="center"/>
          </w:tcPr>
          <w:p>
            <w:pPr>
              <w:spacing w:line="440" w:lineRule="exact"/>
              <w:rPr>
                <w:rFonts w:ascii="宋体" w:hAnsi="宋体" w:eastAsia="宋体"/>
                <w:sz w:val="24"/>
                <w:szCs w:val="24"/>
              </w:rPr>
            </w:pPr>
            <w:r>
              <w:rPr>
                <w:rFonts w:hint="eastAsia" w:ascii="宋体" w:hAnsi="宋体" w:eastAsia="宋体"/>
                <w:sz w:val="24"/>
                <w:szCs w:val="24"/>
              </w:rPr>
              <w:t>详见《第一章 征集公告》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2</w:t>
            </w:r>
          </w:p>
        </w:tc>
        <w:tc>
          <w:tcPr>
            <w:tcW w:w="1353"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信用记录</w:t>
            </w:r>
          </w:p>
        </w:tc>
        <w:tc>
          <w:tcPr>
            <w:tcW w:w="7479" w:type="dxa"/>
          </w:tcPr>
          <w:p>
            <w:pPr>
              <w:spacing w:line="440" w:lineRule="exact"/>
              <w:jc w:val="left"/>
              <w:rPr>
                <w:rFonts w:ascii="宋体" w:hAnsi="宋体"/>
                <w:sz w:val="24"/>
                <w:szCs w:val="24"/>
              </w:rPr>
            </w:pPr>
            <w:r>
              <w:rPr>
                <w:rFonts w:hint="eastAsia" w:ascii="宋体" w:hAnsi="宋体"/>
                <w:sz w:val="24"/>
                <w:szCs w:val="24"/>
              </w:rPr>
              <w:t>根据财库[2016]125号的规定：</w:t>
            </w:r>
          </w:p>
          <w:p>
            <w:pPr>
              <w:spacing w:line="440" w:lineRule="exact"/>
              <w:jc w:val="left"/>
              <w:rPr>
                <w:rFonts w:ascii="宋体" w:hAnsi="宋体"/>
                <w:sz w:val="24"/>
                <w:szCs w:val="24"/>
              </w:rPr>
            </w:pPr>
            <w:r>
              <w:rPr>
                <w:rFonts w:hint="eastAsia" w:ascii="宋体" w:hAnsi="宋体" w:eastAsia="宋体"/>
                <w:sz w:val="24"/>
                <w:szCs w:val="24"/>
              </w:rPr>
              <w:t>⑴</w:t>
            </w:r>
            <w:r>
              <w:rPr>
                <w:rFonts w:hint="eastAsia" w:ascii="宋体" w:hAnsi="宋体"/>
                <w:sz w:val="24"/>
                <w:szCs w:val="24"/>
              </w:rPr>
              <w:t>征集人将对本项目响应供应商的信用记录进行查询。查询渠道为信用中国网站（www.creditchina.gov.cn）、中国政府采购网（www.ccgp.gov.cn）；</w:t>
            </w:r>
          </w:p>
          <w:p>
            <w:pPr>
              <w:spacing w:line="440" w:lineRule="exact"/>
              <w:jc w:val="left"/>
              <w:rPr>
                <w:rFonts w:ascii="宋体" w:hAnsi="宋体"/>
                <w:sz w:val="24"/>
                <w:szCs w:val="24"/>
              </w:rPr>
            </w:pPr>
            <w:r>
              <w:rPr>
                <w:rFonts w:hint="eastAsia" w:ascii="宋体" w:hAnsi="宋体"/>
                <w:sz w:val="24"/>
                <w:szCs w:val="24"/>
              </w:rPr>
              <w:t>⑵截止时点：提交响应文件截止时间前3年内。</w:t>
            </w:r>
          </w:p>
          <w:p>
            <w:pPr>
              <w:spacing w:line="440" w:lineRule="exact"/>
              <w:jc w:val="left"/>
              <w:rPr>
                <w:rFonts w:ascii="宋体" w:hAnsi="宋体"/>
                <w:sz w:val="24"/>
                <w:szCs w:val="24"/>
              </w:rPr>
            </w:pPr>
            <w:r>
              <w:rPr>
                <w:rFonts w:hint="eastAsia" w:ascii="宋体" w:hAnsi="宋体"/>
                <w:sz w:val="24"/>
                <w:szCs w:val="24"/>
              </w:rPr>
              <w:t>⑶查询记录和证据的留存：信用信息查询记录和证据以网页截图等方式留存。</w:t>
            </w:r>
          </w:p>
          <w:p>
            <w:pPr>
              <w:spacing w:line="440" w:lineRule="exact"/>
              <w:jc w:val="left"/>
              <w:rPr>
                <w:rFonts w:ascii="宋体" w:hAnsi="宋体"/>
                <w:sz w:val="24"/>
                <w:szCs w:val="24"/>
              </w:rPr>
            </w:pPr>
            <w:r>
              <w:rPr>
                <w:rFonts w:hint="eastAsia" w:ascii="宋体" w:hAnsi="宋体"/>
                <w:sz w:val="24"/>
                <w:szCs w:val="24"/>
              </w:rPr>
              <w:t>⑷使用规则：被列入失信被执行人、重大税收违法案件当事人名单、政府采购严重违法失信行为记录名单及其他不符合《中华人民共和国政府采购法》第二十二条规定条件的，其响应将作无效处理。</w:t>
            </w:r>
          </w:p>
          <w:p>
            <w:pPr>
              <w:spacing w:line="440" w:lineRule="exact"/>
              <w:jc w:val="left"/>
              <w:rPr>
                <w:rFonts w:ascii="宋体" w:hAnsi="宋体" w:eastAsia="宋体"/>
                <w:sz w:val="24"/>
                <w:szCs w:val="24"/>
              </w:rPr>
            </w:pPr>
            <w:r>
              <w:rPr>
                <w:rFonts w:hint="eastAsia" w:ascii="宋体" w:hAnsi="宋体"/>
                <w:sz w:val="24"/>
                <w:szCs w:val="24"/>
              </w:rPr>
              <w:t>⑸联合体成员任意一方存在不良信用记录的，视同联合体存在不良信用记录。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3</w:t>
            </w:r>
          </w:p>
        </w:tc>
        <w:tc>
          <w:tcPr>
            <w:tcW w:w="1353"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▲响应费用</w:t>
            </w:r>
          </w:p>
        </w:tc>
        <w:tc>
          <w:tcPr>
            <w:tcW w:w="7479" w:type="dxa"/>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1.不论征集结果如何，响应供应商均应自行承担所有与响应有关的全部费用。</w:t>
            </w:r>
          </w:p>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2.响应供应商在响应、合同履行过程中必须做好安全保障工作，不因项目实施而危及自身及第三方人员、财产安全。若发生任何安全事故，由响应供应商自行承担一切责任并赔偿损失。</w:t>
            </w:r>
          </w:p>
          <w:p>
            <w:pPr>
              <w:spacing w:line="360" w:lineRule="auto"/>
              <w:jc w:val="left"/>
              <w:rPr>
                <w:rFonts w:ascii="宋体" w:hAnsi="宋体" w:eastAsia="宋体"/>
                <w:sz w:val="24"/>
                <w:szCs w:val="24"/>
              </w:rPr>
            </w:pPr>
            <w:r>
              <w:rPr>
                <w:rFonts w:hint="eastAsia" w:asciiTheme="minorEastAsia" w:hAnsiTheme="minorEastAsia" w:cstheme="minorEastAsia"/>
                <w:sz w:val="24"/>
                <w:szCs w:val="24"/>
              </w:rPr>
              <w:t>3.本项目免收代理服务费。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4</w:t>
            </w:r>
          </w:p>
        </w:tc>
        <w:tc>
          <w:tcPr>
            <w:tcW w:w="1353"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保证金</w:t>
            </w:r>
          </w:p>
        </w:tc>
        <w:tc>
          <w:tcPr>
            <w:tcW w:w="7479" w:type="dxa"/>
          </w:tcPr>
          <w:p>
            <w:pPr>
              <w:spacing w:line="440" w:lineRule="exact"/>
              <w:jc w:val="left"/>
              <w:rPr>
                <w:rFonts w:ascii="宋体" w:hAnsi="宋体" w:eastAsia="宋体"/>
                <w:sz w:val="24"/>
                <w:szCs w:val="24"/>
              </w:rPr>
            </w:pPr>
            <w:r>
              <w:rPr>
                <w:rFonts w:hint="eastAsia" w:ascii="宋体" w:hAnsi="宋体" w:eastAsia="宋体"/>
                <w:sz w:val="24"/>
                <w:szCs w:val="24"/>
              </w:rPr>
              <w:t>⑴响应保证金：本项目不收取响应保证金。</w:t>
            </w:r>
          </w:p>
          <w:p>
            <w:pPr>
              <w:spacing w:line="440" w:lineRule="exact"/>
              <w:jc w:val="left"/>
              <w:rPr>
                <w:rFonts w:ascii="宋体" w:hAnsi="宋体" w:eastAsia="宋体"/>
                <w:sz w:val="24"/>
                <w:szCs w:val="24"/>
              </w:rPr>
            </w:pPr>
            <w:r>
              <w:rPr>
                <w:rFonts w:hint="eastAsia" w:ascii="宋体" w:hAnsi="宋体"/>
                <w:sz w:val="24"/>
                <w:szCs w:val="24"/>
              </w:rPr>
              <w:t>⑵</w:t>
            </w:r>
            <w:r>
              <w:rPr>
                <w:rFonts w:hint="eastAsia" w:ascii="宋体" w:hAnsi="宋体" w:eastAsia="宋体"/>
                <w:sz w:val="24"/>
                <w:szCs w:val="24"/>
              </w:rPr>
              <w:t>履约保证金：本项目无需缴纳履约保证金。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5</w:t>
            </w:r>
          </w:p>
        </w:tc>
        <w:tc>
          <w:tcPr>
            <w:tcW w:w="1353"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响应文件组成</w:t>
            </w:r>
          </w:p>
        </w:tc>
        <w:tc>
          <w:tcPr>
            <w:tcW w:w="7479" w:type="dxa"/>
          </w:tcPr>
          <w:p>
            <w:pPr>
              <w:spacing w:line="440" w:lineRule="exact"/>
              <w:jc w:val="left"/>
              <w:rPr>
                <w:rFonts w:ascii="宋体" w:hAnsi="宋体" w:eastAsia="宋体"/>
                <w:sz w:val="24"/>
                <w:szCs w:val="24"/>
              </w:rPr>
            </w:pPr>
            <w:r>
              <w:rPr>
                <w:rFonts w:hint="eastAsia" w:ascii="宋体" w:hAnsi="宋体" w:eastAsia="宋体"/>
                <w:sz w:val="24"/>
                <w:szCs w:val="24"/>
              </w:rPr>
              <w:t>由资格响应文件、技术商务文件和报价文件组成。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6</w:t>
            </w:r>
          </w:p>
        </w:tc>
        <w:tc>
          <w:tcPr>
            <w:tcW w:w="1353"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政府采购政策要求及措施</w:t>
            </w:r>
          </w:p>
        </w:tc>
        <w:tc>
          <w:tcPr>
            <w:tcW w:w="7479" w:type="dxa"/>
            <w:vAlign w:val="center"/>
          </w:tcPr>
          <w:p>
            <w:pPr>
              <w:adjustRightInd w:val="0"/>
              <w:snapToGrid w:val="0"/>
              <w:spacing w:line="440" w:lineRule="exact"/>
              <w:ind w:firstLine="482" w:firstLineChars="200"/>
              <w:jc w:val="left"/>
              <w:rPr>
                <w:rFonts w:ascii="宋体" w:hAnsi="宋体" w:eastAsia="宋体"/>
                <w:b/>
                <w:sz w:val="24"/>
                <w:szCs w:val="24"/>
              </w:rPr>
            </w:pPr>
            <w:r>
              <w:rPr>
                <w:rFonts w:hint="eastAsia" w:ascii="宋体" w:hAnsi="宋体" w:eastAsia="宋体"/>
                <w:b/>
                <w:sz w:val="24"/>
                <w:szCs w:val="24"/>
              </w:rPr>
              <w:t>1.</w:t>
            </w:r>
            <w:r>
              <w:rPr>
                <w:rFonts w:hint="eastAsia" w:ascii="宋体" w:hAnsi="宋体"/>
                <w:b/>
                <w:sz w:val="24"/>
                <w:szCs w:val="24"/>
              </w:rPr>
              <w:t>支持绿色发展</w:t>
            </w:r>
          </w:p>
          <w:p>
            <w:pPr>
              <w:adjustRightInd w:val="0"/>
              <w:snapToGrid w:val="0"/>
              <w:spacing w:line="440" w:lineRule="exact"/>
              <w:ind w:firstLine="482" w:firstLineChars="200"/>
              <w:jc w:val="left"/>
              <w:rPr>
                <w:rFonts w:ascii="宋体" w:hAnsi="宋体" w:eastAsia="宋体"/>
                <w:b/>
                <w:sz w:val="24"/>
                <w:szCs w:val="24"/>
              </w:rPr>
            </w:pPr>
            <w:r>
              <w:rPr>
                <w:rFonts w:hint="eastAsia" w:ascii="宋体" w:hAnsi="宋体" w:eastAsia="宋体"/>
                <w:b/>
                <w:sz w:val="24"/>
                <w:szCs w:val="24"/>
              </w:rPr>
              <w:t>⑴政府采购节能环保产品相关政策</w:t>
            </w:r>
          </w:p>
          <w:p>
            <w:pPr>
              <w:adjustRightInd w:val="0"/>
              <w:snapToGrid w:val="0"/>
              <w:spacing w:line="440" w:lineRule="exact"/>
              <w:ind w:firstLine="523" w:firstLineChars="218"/>
              <w:jc w:val="left"/>
              <w:rPr>
                <w:rFonts w:ascii="宋体" w:hAnsi="宋体" w:eastAsia="宋体"/>
                <w:sz w:val="24"/>
                <w:szCs w:val="24"/>
              </w:rPr>
            </w:pPr>
            <w:r>
              <w:rPr>
                <w:rFonts w:hint="eastAsia" w:ascii="宋体" w:hAnsi="宋体" w:eastAsia="宋体"/>
                <w:sz w:val="24"/>
                <w:szCs w:val="24"/>
              </w:rPr>
              <w:t>响应产品若属于节能（环保）产品的，请提供参与实施政府采购节能（环境标志）产品认证机构出具的认证证书或证书发布平台的投标产品认证证书查询截图；参与实施政府采购节能（环境标志）产品认证机构详见《市场监督管理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pStyle w:val="17"/>
              <w:widowControl/>
              <w:adjustRightInd w:val="0"/>
              <w:snapToGrid w:val="0"/>
              <w:spacing w:line="440" w:lineRule="exact"/>
              <w:ind w:firstLine="480" w:firstLineChars="200"/>
              <w:rPr>
                <w:rFonts w:ascii="仿宋" w:hAnsi="仿宋" w:eastAsia="仿宋"/>
                <w:b/>
                <w:szCs w:val="24"/>
              </w:rPr>
            </w:pPr>
            <w:r>
              <w:rPr>
                <w:rFonts w:hint="eastAsia" w:ascii="宋体" w:hAnsi="宋体" w:cstheme="minorBidi"/>
                <w:kern w:val="2"/>
                <w:szCs w:val="24"/>
              </w:rPr>
              <w:t>产品属于政府强制采购节能品目的（详见《关于印发节能产品政府采购品目清单的通知》财库〔2019〕19号），响应方须按上款要求提供节能产品认证证书或规定网站证书查询截图。</w:t>
            </w:r>
            <w:r>
              <w:rPr>
                <w:rFonts w:hint="eastAsia" w:ascii="宋体" w:hAnsi="宋体" w:cstheme="minorBidi"/>
                <w:b/>
                <w:kern w:val="2"/>
                <w:szCs w:val="24"/>
              </w:rPr>
              <w:t>产品属于政府强制采购节能产品品目的，响应方未提供节能产品的，其响应将作无效处理。</w:t>
            </w:r>
          </w:p>
          <w:p>
            <w:pPr>
              <w:pStyle w:val="17"/>
              <w:widowControl/>
              <w:adjustRightInd w:val="0"/>
              <w:snapToGrid w:val="0"/>
              <w:spacing w:line="440" w:lineRule="exact"/>
              <w:ind w:firstLine="482" w:firstLineChars="200"/>
              <w:rPr>
                <w:rFonts w:ascii="宋体" w:hAnsi="宋体" w:cstheme="minorBidi"/>
                <w:b/>
                <w:kern w:val="2"/>
                <w:szCs w:val="24"/>
              </w:rPr>
            </w:pPr>
            <w:r>
              <w:rPr>
                <w:rFonts w:hint="eastAsia" w:ascii="宋体" w:hAnsi="宋体"/>
                <w:b/>
                <w:szCs w:val="24"/>
              </w:rPr>
              <w:t>⑵</w:t>
            </w:r>
            <w:r>
              <w:rPr>
                <w:rFonts w:hint="eastAsia" w:ascii="宋体" w:hAnsi="宋体" w:cstheme="minorBidi"/>
                <w:b/>
                <w:kern w:val="2"/>
                <w:szCs w:val="24"/>
              </w:rPr>
              <w:t xml:space="preserve"> 推广绿色包装</w:t>
            </w:r>
          </w:p>
          <w:p>
            <w:pPr>
              <w:pStyle w:val="17"/>
              <w:widowControl/>
              <w:adjustRightInd w:val="0"/>
              <w:snapToGrid w:val="0"/>
              <w:spacing w:line="440" w:lineRule="exact"/>
              <w:ind w:firstLine="523" w:firstLineChars="218"/>
              <w:rPr>
                <w:rFonts w:ascii="宋体" w:hAnsi="宋体" w:cstheme="minorBidi"/>
                <w:kern w:val="2"/>
                <w:szCs w:val="24"/>
              </w:rPr>
            </w:pPr>
            <w:r>
              <w:rPr>
                <w:rFonts w:hint="eastAsia" w:ascii="宋体" w:hAnsi="宋体" w:cstheme="minorBidi"/>
                <w:kern w:val="2"/>
                <w:szCs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17"/>
              <w:widowControl/>
              <w:adjustRightInd w:val="0"/>
              <w:snapToGrid w:val="0"/>
              <w:spacing w:line="440" w:lineRule="exact"/>
              <w:ind w:firstLine="482" w:firstLineChars="200"/>
              <w:rPr>
                <w:rFonts w:ascii="宋体" w:hAnsi="宋体"/>
                <w:b/>
                <w:szCs w:val="24"/>
              </w:rPr>
            </w:pPr>
            <w:r>
              <w:rPr>
                <w:rFonts w:hint="eastAsia" w:ascii="宋体" w:hAnsi="宋体" w:cstheme="minorBidi"/>
                <w:b/>
                <w:kern w:val="2"/>
                <w:szCs w:val="24"/>
              </w:rPr>
              <w:t>2.中小企业优惠措施</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⑴最高限价：</w:t>
            </w:r>
            <w:r>
              <w:rPr>
                <w:rFonts w:hint="eastAsia" w:ascii="宋体" w:hAnsi="宋体" w:eastAsia="宋体"/>
                <w:sz w:val="24"/>
                <w:szCs w:val="24"/>
                <w:u w:val="single"/>
              </w:rPr>
              <w:t xml:space="preserve">     70%      </w:t>
            </w:r>
            <w:r>
              <w:rPr>
                <w:rFonts w:hint="eastAsia" w:ascii="宋体" w:hAnsi="宋体" w:eastAsia="宋体"/>
                <w:sz w:val="24"/>
                <w:szCs w:val="24"/>
              </w:rPr>
              <w:t xml:space="preserve"> </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sz w:val="24"/>
                <w:szCs w:val="24"/>
              </w:rPr>
              <w:t>⑵</w:t>
            </w:r>
            <w:r>
              <w:rPr>
                <w:rFonts w:hint="eastAsia" w:ascii="宋体" w:hAnsi="宋体" w:eastAsia="宋体"/>
                <w:sz w:val="24"/>
                <w:szCs w:val="24"/>
              </w:rPr>
              <w:t>项目属性：□货物/□工程/</w:t>
            </w:r>
            <w:r>
              <w:t xml:space="preserve"> </w:t>
            </w:r>
            <w:r>
              <w:rPr>
                <w:rFonts w:hint="eastAsia" w:ascii="MS Mincho" w:hAnsi="MS Mincho" w:eastAsia="MS Mincho" w:cs="MS Mincho"/>
                <w:sz w:val="24"/>
                <w:szCs w:val="24"/>
              </w:rPr>
              <w:t>☑</w:t>
            </w:r>
            <w:r>
              <w:rPr>
                <w:rFonts w:hint="eastAsia" w:ascii="宋体" w:hAnsi="宋体" w:eastAsia="宋体"/>
                <w:sz w:val="24"/>
                <w:szCs w:val="24"/>
              </w:rPr>
              <w:t>服务</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⑶中小企业划分标准所属行业（具体根据</w:t>
            </w:r>
            <w:r>
              <w:rPr>
                <w:rFonts w:ascii="宋体" w:hAnsi="宋体" w:eastAsia="宋体"/>
                <w:sz w:val="24"/>
                <w:szCs w:val="24"/>
              </w:rPr>
              <w:t>《中小企业划型标准规定》</w:t>
            </w:r>
            <w:r>
              <w:rPr>
                <w:rFonts w:hint="eastAsia" w:ascii="宋体" w:hAnsi="宋体" w:eastAsia="宋体"/>
                <w:sz w:val="24"/>
                <w:szCs w:val="24"/>
              </w:rPr>
              <w:t>执行）</w:t>
            </w:r>
          </w:p>
          <w:p>
            <w:pPr>
              <w:widowControl/>
              <w:adjustRightInd w:val="0"/>
              <w:snapToGrid w:val="0"/>
              <w:spacing w:line="440" w:lineRule="exact"/>
              <w:ind w:firstLine="482" w:firstLineChars="200"/>
              <w:jc w:val="left"/>
              <w:rPr>
                <w:rFonts w:ascii="宋体" w:hAnsi="宋体" w:eastAsia="宋体"/>
                <w:sz w:val="24"/>
                <w:szCs w:val="24"/>
                <w:u w:val="single"/>
              </w:rPr>
            </w:pPr>
            <w:r>
              <w:rPr>
                <w:rFonts w:hint="eastAsia" w:ascii="宋体" w:hAnsi="宋体" w:eastAsia="宋体"/>
                <w:b/>
                <w:sz w:val="24"/>
                <w:szCs w:val="24"/>
              </w:rPr>
              <w:t>采购标的：</w:t>
            </w:r>
            <w:r>
              <w:rPr>
                <w:rFonts w:hint="eastAsia" w:ascii="宋体" w:hAnsi="宋体" w:eastAsia="宋体"/>
                <w:sz w:val="24"/>
                <w:szCs w:val="24"/>
                <w:u w:val="single"/>
              </w:rPr>
              <w:t xml:space="preserve"> </w:t>
            </w:r>
            <w:r>
              <w:rPr>
                <w:rFonts w:ascii="宋体" w:hAnsi="宋体" w:eastAsia="宋体"/>
                <w:sz w:val="24"/>
                <w:szCs w:val="24"/>
                <w:u w:val="single"/>
              </w:rPr>
              <w:t>2024-2026</w:t>
            </w:r>
            <w:r>
              <w:rPr>
                <w:rFonts w:hint="eastAsia" w:ascii="宋体" w:hAnsi="宋体" w:eastAsia="宋体"/>
                <w:sz w:val="24"/>
                <w:szCs w:val="24"/>
                <w:u w:val="single"/>
              </w:rPr>
              <w:t xml:space="preserve">年度浦江县政府投资项目审核服务 </w:t>
            </w:r>
            <w:r>
              <w:rPr>
                <w:rFonts w:hint="eastAsia" w:ascii="宋体" w:hAnsi="宋体" w:eastAsia="宋体"/>
                <w:sz w:val="24"/>
                <w:szCs w:val="24"/>
              </w:rPr>
              <w:t>，</w:t>
            </w:r>
            <w:r>
              <w:rPr>
                <w:rFonts w:hint="eastAsia" w:ascii="宋体" w:hAnsi="宋体" w:eastAsia="宋体"/>
                <w:b/>
                <w:sz w:val="24"/>
                <w:szCs w:val="24"/>
              </w:rPr>
              <w:t>所属行业：</w:t>
            </w:r>
            <w:r>
              <w:rPr>
                <w:rFonts w:hint="eastAsia" w:ascii="宋体" w:hAnsi="宋体" w:eastAsia="宋体"/>
                <w:sz w:val="24"/>
                <w:szCs w:val="24"/>
                <w:u w:val="single"/>
              </w:rPr>
              <w:t xml:space="preserve">   未列明行业      </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（划型标准：从业人员300人以下的为中小微型企业。其中，从业人员100人及以上的为中型企业；从业人员10人及以上的为小型企业；从业人员10人以下的为微型企业。）</w:t>
            </w:r>
          </w:p>
          <w:p>
            <w:pPr>
              <w:widowControl/>
              <w:adjustRightInd w:val="0"/>
              <w:snapToGrid w:val="0"/>
              <w:spacing w:line="440" w:lineRule="exact"/>
              <w:ind w:firstLine="480" w:firstLineChars="200"/>
              <w:jc w:val="left"/>
              <w:rPr>
                <w:rFonts w:asciiTheme="minorEastAsia" w:hAnsiTheme="minorEastAsia" w:cstheme="minorEastAsia"/>
                <w:sz w:val="24"/>
                <w:szCs w:val="24"/>
              </w:rPr>
            </w:pPr>
            <w:r>
              <w:rPr>
                <w:rFonts w:hint="eastAsia" w:ascii="宋体" w:hAnsi="宋体"/>
                <w:sz w:val="24"/>
                <w:szCs w:val="24"/>
              </w:rPr>
              <w:t>⑷</w:t>
            </w:r>
            <w:r>
              <w:rPr>
                <w:rFonts w:hint="eastAsia" w:ascii="宋体" w:hAnsi="宋体" w:eastAsia="宋体"/>
                <w:sz w:val="24"/>
                <w:szCs w:val="24"/>
              </w:rPr>
              <w:t>本项目（□是/</w:t>
            </w:r>
            <w:r>
              <w:rPr>
                <w:rFonts w:hint="eastAsia" w:ascii="MS Mincho" w:hAnsi="MS Mincho" w:eastAsia="MS Mincho" w:cs="MS Mincho"/>
                <w:sz w:val="24"/>
                <w:szCs w:val="24"/>
              </w:rPr>
              <w:t>☑</w:t>
            </w:r>
            <w:r>
              <w:rPr>
                <w:rFonts w:hint="eastAsia" w:ascii="宋体" w:hAnsi="宋体" w:eastAsia="宋体"/>
                <w:sz w:val="24"/>
                <w:szCs w:val="24"/>
              </w:rPr>
              <w:t>否）</w:t>
            </w:r>
            <w:r>
              <w:rPr>
                <w:rFonts w:hint="eastAsia" w:asciiTheme="minorEastAsia" w:hAnsiTheme="minorEastAsia" w:cstheme="minorEastAsia"/>
                <w:sz w:val="24"/>
                <w:szCs w:val="24"/>
              </w:rPr>
              <w:t>属于预留份额专门面向中小企业采购的项目。</w:t>
            </w:r>
          </w:p>
          <w:p>
            <w:pPr>
              <w:widowControl/>
              <w:adjustRightInd w:val="0"/>
              <w:snapToGrid w:val="0"/>
              <w:spacing w:line="440" w:lineRule="exact"/>
              <w:ind w:firstLine="482" w:firstLineChars="200"/>
              <w:jc w:val="left"/>
              <w:rPr>
                <w:rFonts w:asciiTheme="minorEastAsia" w:hAnsiTheme="minorEastAsia" w:cstheme="minorEastAsia"/>
                <w:sz w:val="24"/>
                <w:szCs w:val="24"/>
              </w:rPr>
            </w:pPr>
            <w:r>
              <w:rPr>
                <w:rFonts w:hint="eastAsia" w:asciiTheme="minorEastAsia" w:hAnsiTheme="minorEastAsia" w:cstheme="minorEastAsia"/>
                <w:b/>
                <w:sz w:val="24"/>
                <w:szCs w:val="24"/>
              </w:rPr>
              <w:t>专门面向中小企业采购的项目或者标项</w:t>
            </w:r>
            <w:r>
              <w:rPr>
                <w:rFonts w:hint="eastAsia" w:asciiTheme="minorEastAsia" w:hAnsiTheme="minorEastAsia" w:cstheme="minorEastAsia"/>
                <w:sz w:val="24"/>
                <w:szCs w:val="24"/>
              </w:rPr>
              <w:t>，不再执行价格评审优惠的扶持政策。预留份额通过</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sz w:val="24"/>
                <w:szCs w:val="24"/>
              </w:rPr>
              <w:t>措施进行：</w:t>
            </w:r>
          </w:p>
          <w:p>
            <w:pPr>
              <w:widowControl/>
              <w:adjustRightInd w:val="0"/>
              <w:snapToGrid w:val="0"/>
              <w:spacing w:line="44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①将采购项目整体专门面向中小企业采购；</w:t>
            </w:r>
          </w:p>
          <w:p>
            <w:pPr>
              <w:widowControl/>
              <w:adjustRightInd w:val="0"/>
              <w:snapToGrid w:val="0"/>
              <w:spacing w:line="44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②要求供应商以联合体形式参加采购活动，且联合体中中小企业承担的部分达到</w:t>
            </w:r>
            <w:r>
              <w:rPr>
                <w:rFonts w:hint="eastAsia" w:asciiTheme="minorEastAsia" w:hAnsiTheme="minorEastAsia" w:cstheme="minorEastAsia"/>
                <w:sz w:val="24"/>
                <w:szCs w:val="24"/>
                <w:u w:val="single"/>
              </w:rPr>
              <w:t xml:space="preserve">  / % </w:t>
            </w:r>
            <w:r>
              <w:rPr>
                <w:rFonts w:hint="eastAsia" w:asciiTheme="minorEastAsia" w:hAnsiTheme="minorEastAsia" w:cstheme="minorEastAsia"/>
                <w:sz w:val="24"/>
                <w:szCs w:val="24"/>
              </w:rPr>
              <w:t>以上；</w:t>
            </w:r>
          </w:p>
          <w:p>
            <w:pPr>
              <w:widowControl/>
              <w:adjustRightInd w:val="0"/>
              <w:snapToGrid w:val="0"/>
              <w:spacing w:line="44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③要求获得采购合同的供应商将采购项目中的</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sz w:val="24"/>
                <w:szCs w:val="24"/>
              </w:rPr>
              <w:t>比例）分包给一家或者多家中小企业；</w:t>
            </w:r>
          </w:p>
          <w:p>
            <w:pPr>
              <w:widowControl/>
              <w:adjustRightInd w:val="0"/>
              <w:snapToGrid w:val="0"/>
              <w:spacing w:line="44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④组成联合体或者接受分包合同的中小企业与联合体内其他企业、分包企业之间不得存在直接控股、管理关系。</w:t>
            </w:r>
          </w:p>
          <w:p>
            <w:pPr>
              <w:widowControl/>
              <w:adjustRightInd w:val="0"/>
              <w:snapToGrid w:val="0"/>
              <w:spacing w:line="440" w:lineRule="exact"/>
              <w:ind w:firstLine="482" w:firstLineChars="200"/>
              <w:jc w:val="left"/>
              <w:rPr>
                <w:rFonts w:ascii="宋体" w:hAnsi="宋体" w:eastAsia="宋体"/>
                <w:sz w:val="24"/>
                <w:szCs w:val="24"/>
              </w:rPr>
            </w:pPr>
            <w:r>
              <w:rPr>
                <w:rFonts w:hint="eastAsia" w:ascii="宋体" w:hAnsi="宋体" w:eastAsia="宋体"/>
                <w:b/>
                <w:sz w:val="24"/>
                <w:szCs w:val="24"/>
              </w:rPr>
              <w:t>非专门</w:t>
            </w:r>
            <w:r>
              <w:rPr>
                <w:rFonts w:hint="eastAsia" w:asciiTheme="minorEastAsia" w:hAnsiTheme="minorEastAsia" w:cstheme="minorEastAsia"/>
                <w:b/>
                <w:sz w:val="24"/>
                <w:szCs w:val="24"/>
              </w:rPr>
              <w:t>面向中小微企业的项目或者标项</w:t>
            </w:r>
            <w:r>
              <w:rPr>
                <w:rFonts w:hint="eastAsia" w:asciiTheme="minorEastAsia" w:hAnsiTheme="minorEastAsia" w:cstheme="minorEastAsia"/>
                <w:sz w:val="24"/>
                <w:szCs w:val="24"/>
              </w:rPr>
              <w:t>，执行价格评审优惠的扶持政策。</w:t>
            </w:r>
            <w:r>
              <w:rPr>
                <w:rFonts w:hint="eastAsia" w:ascii="宋体" w:hAnsi="宋体" w:eastAsia="宋体"/>
                <w:sz w:val="24"/>
                <w:szCs w:val="24"/>
              </w:rPr>
              <w:t>根据财库〔2020〕46号的相关规定，在评审时对符合本办法规定的小微企业报价给予（</w:t>
            </w:r>
            <w:r>
              <w:rPr>
                <w:rFonts w:hint="eastAsia" w:ascii="宋体" w:hAnsi="宋体" w:eastAsia="宋体"/>
                <w:sz w:val="24"/>
                <w:szCs w:val="24"/>
                <w:u w:val="single"/>
              </w:rPr>
              <w:t xml:space="preserve">  10  %   </w:t>
            </w:r>
            <w:r>
              <w:rPr>
                <w:rFonts w:hint="eastAsia" w:ascii="宋体" w:hAnsi="宋体" w:eastAsia="宋体"/>
                <w:sz w:val="24"/>
                <w:szCs w:val="24"/>
              </w:rPr>
              <w:t>）的扣除，</w:t>
            </w:r>
            <w:r>
              <w:rPr>
                <w:rFonts w:hint="eastAsia" w:asciiTheme="minorEastAsia" w:hAnsiTheme="minorEastAsia" w:cstheme="minorEastAsia"/>
                <w:sz w:val="24"/>
                <w:szCs w:val="24"/>
              </w:rPr>
              <w:t>大中型企业与小微企业组成联合体或者大中型企业向小微企业分包且</w:t>
            </w:r>
            <w:r>
              <w:rPr>
                <w:rFonts w:asciiTheme="minorEastAsia" w:hAnsiTheme="minorEastAsia" w:cstheme="minorEastAsia"/>
                <w:sz w:val="24"/>
                <w:szCs w:val="24"/>
              </w:rPr>
              <w:t>于联合协议或者分包意向协议约定小微企业的合同份额占到合同总金额 30%以上的</w:t>
            </w:r>
            <w:r>
              <w:rPr>
                <w:rFonts w:hint="eastAsia" w:asciiTheme="minorEastAsia" w:hAnsiTheme="minorEastAsia" w:cstheme="minorEastAsia"/>
                <w:sz w:val="24"/>
                <w:szCs w:val="24"/>
              </w:rPr>
              <w:t>给予</w:t>
            </w:r>
            <w:r>
              <w:rPr>
                <w:rFonts w:hint="eastAsia" w:ascii="宋体" w:hAnsi="宋体" w:eastAsia="宋体"/>
                <w:sz w:val="24"/>
                <w:szCs w:val="24"/>
              </w:rPr>
              <w:t>（</w:t>
            </w:r>
            <w:r>
              <w:rPr>
                <w:rFonts w:hint="eastAsia" w:ascii="宋体" w:hAnsi="宋体" w:eastAsia="宋体"/>
                <w:sz w:val="24"/>
                <w:szCs w:val="24"/>
                <w:u w:val="single"/>
              </w:rPr>
              <w:t xml:space="preserve">  /  %   </w:t>
            </w:r>
            <w:r>
              <w:rPr>
                <w:rFonts w:hint="eastAsia" w:ascii="宋体" w:hAnsi="宋体" w:eastAsia="宋体"/>
                <w:sz w:val="24"/>
                <w:szCs w:val="24"/>
              </w:rPr>
              <w:t>）的扣除（扣除后的报价仅在评审时使用）。中小企业参加政府采购活动，应当出具本办法规定的《中小企业声明函》，否则不得享受相关中小企业扶持政策。</w:t>
            </w:r>
          </w:p>
          <w:p>
            <w:pPr>
              <w:pStyle w:val="17"/>
              <w:widowControl/>
              <w:adjustRightInd w:val="0"/>
              <w:snapToGrid w:val="0"/>
              <w:spacing w:line="440" w:lineRule="exact"/>
              <w:ind w:firstLine="482" w:firstLineChars="200"/>
              <w:rPr>
                <w:rFonts w:ascii="宋体" w:hAnsi="宋体" w:cstheme="minorBidi"/>
                <w:b/>
                <w:kern w:val="2"/>
                <w:szCs w:val="24"/>
              </w:rPr>
            </w:pPr>
            <w:r>
              <w:rPr>
                <w:rFonts w:hint="eastAsia" w:ascii="宋体" w:hAnsi="宋体" w:cstheme="minorBidi"/>
                <w:b/>
                <w:kern w:val="2"/>
                <w:szCs w:val="24"/>
              </w:rPr>
              <w:t>3.支持残疾人福利性单位</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第六章 响应文件格式）。</w:t>
            </w:r>
          </w:p>
          <w:p>
            <w:pPr>
              <w:pStyle w:val="17"/>
              <w:widowControl/>
              <w:adjustRightInd w:val="0"/>
              <w:snapToGrid w:val="0"/>
              <w:spacing w:line="440" w:lineRule="exact"/>
              <w:ind w:firstLine="482" w:firstLineChars="200"/>
              <w:rPr>
                <w:rFonts w:ascii="宋体" w:hAnsi="宋体" w:cstheme="minorBidi"/>
                <w:b/>
                <w:kern w:val="2"/>
                <w:szCs w:val="24"/>
              </w:rPr>
            </w:pPr>
            <w:r>
              <w:rPr>
                <w:rFonts w:hint="eastAsia" w:ascii="宋体" w:hAnsi="宋体" w:cstheme="minorBidi"/>
                <w:b/>
                <w:kern w:val="2"/>
                <w:szCs w:val="24"/>
              </w:rPr>
              <w:t>4.支持监狱企业</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材料（格式自拟）。</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注：</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1.未提供以上材料的，均不得享受相关扶持政策。</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2.监狱企业、残疾人福利性单位属于小型、微型企业的，不重复享受政策。</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3.如响应供应商声明为中小企业或残疾人福利性单位或监狱企业，响应供应商的《中小企业声明函》或《残疾人福利性单位声明函》或属于监狱企业的相关材料，将随入围结果同时公告，接受社会监督。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7</w:t>
            </w:r>
          </w:p>
        </w:tc>
        <w:tc>
          <w:tcPr>
            <w:tcW w:w="1353"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电子交易平台登录方法</w:t>
            </w:r>
          </w:p>
        </w:tc>
        <w:tc>
          <w:tcPr>
            <w:tcW w:w="7479" w:type="dxa"/>
            <w:vAlign w:val="center"/>
          </w:tcPr>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第一步：供应商注册</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响应方</w:t>
            </w:r>
            <w:r>
              <w:rPr>
                <w:rFonts w:ascii="宋体" w:hAnsi="宋体" w:eastAsia="宋体"/>
                <w:sz w:val="24"/>
                <w:szCs w:val="24"/>
              </w:rPr>
              <w:t>应在</w:t>
            </w:r>
            <w:r>
              <w:rPr>
                <w:rFonts w:hint="eastAsia" w:ascii="宋体" w:hAnsi="宋体" w:eastAsia="宋体"/>
                <w:sz w:val="24"/>
                <w:szCs w:val="24"/>
              </w:rPr>
              <w:t>投</w:t>
            </w:r>
            <w:r>
              <w:rPr>
                <w:rFonts w:ascii="宋体" w:hAnsi="宋体" w:eastAsia="宋体"/>
                <w:sz w:val="24"/>
                <w:szCs w:val="24"/>
              </w:rPr>
              <w:t>标前</w:t>
            </w:r>
            <w:r>
              <w:rPr>
                <w:rFonts w:hint="eastAsia" w:ascii="宋体" w:hAnsi="宋体" w:eastAsia="宋体"/>
                <w:sz w:val="24"/>
                <w:szCs w:val="24"/>
              </w:rPr>
              <w:t>注册成为浙江政府采购网的正式供应商（注册网址：</w:t>
            </w:r>
            <w:r>
              <w:fldChar w:fldCharType="begin"/>
            </w:r>
            <w:r>
              <w:instrText xml:space="preserve"> HYPERLINK "https://middle.zcygov.cn/v-settle-front/registry" </w:instrText>
            </w:r>
            <w:r>
              <w:fldChar w:fldCharType="separate"/>
            </w:r>
            <w:r>
              <w:rPr>
                <w:rFonts w:ascii="宋体" w:hAnsi="宋体" w:eastAsia="宋体"/>
                <w:sz w:val="24"/>
                <w:szCs w:val="24"/>
              </w:rPr>
              <w:t>https://middle.zcygov.cn/v-settle-front/registry</w:t>
            </w:r>
            <w:r>
              <w:rPr>
                <w:rFonts w:ascii="宋体" w:hAnsi="宋体" w:eastAsia="宋体"/>
                <w:sz w:val="24"/>
                <w:szCs w:val="24"/>
              </w:rPr>
              <w:fldChar w:fldCharType="end"/>
            </w:r>
            <w:r>
              <w:rPr>
                <w:rFonts w:hint="eastAsia" w:ascii="宋体" w:hAnsi="宋体" w:eastAsia="宋体"/>
                <w:sz w:val="24"/>
                <w:szCs w:val="24"/>
              </w:rPr>
              <w:t>）；</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第二步：申请CA</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响应方</w:t>
            </w:r>
            <w:r>
              <w:rPr>
                <w:rFonts w:ascii="宋体" w:hAnsi="宋体" w:eastAsia="宋体"/>
                <w:sz w:val="24"/>
                <w:szCs w:val="24"/>
              </w:rPr>
              <w:t>应在</w:t>
            </w:r>
            <w:r>
              <w:rPr>
                <w:rFonts w:hint="eastAsia" w:ascii="宋体" w:hAnsi="宋体" w:eastAsia="宋体"/>
                <w:sz w:val="24"/>
                <w:szCs w:val="24"/>
              </w:rPr>
              <w:t>响应</w:t>
            </w:r>
            <w:r>
              <w:rPr>
                <w:rFonts w:ascii="宋体" w:hAnsi="宋体" w:eastAsia="宋体"/>
                <w:sz w:val="24"/>
                <w:szCs w:val="24"/>
              </w:rPr>
              <w:t>前完成CA数字证书办理（办理流程详见http://zfcg.czt.zj.gov.cn/bidClientTemplate/2019-05-27/12945.html）。完成CA数字证书办理</w:t>
            </w:r>
            <w:r>
              <w:rPr>
                <w:rFonts w:hint="eastAsia" w:ascii="宋体" w:hAnsi="宋体" w:eastAsia="宋体"/>
                <w:sz w:val="24"/>
                <w:szCs w:val="24"/>
              </w:rPr>
              <w:t>预计一周左右，建议各响应方抓紧时间办理；</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第三步：下载客户端</w:t>
            </w:r>
          </w:p>
          <w:p>
            <w:pPr>
              <w:widowControl/>
              <w:adjustRightInd w:val="0"/>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响应方通过政采云电子交易客户端制作响应文件，请自行前往</w:t>
            </w:r>
            <w:r>
              <w:rPr>
                <w:rFonts w:hint="eastAsia" w:ascii="宋体" w:hAnsi="宋体" w:eastAsia="宋体"/>
                <w:sz w:val="24"/>
                <w:szCs w:val="24"/>
              </w:rPr>
              <w:t>浙江政府采购网下载并安装（下载网址：</w:t>
            </w:r>
            <w:r>
              <w:fldChar w:fldCharType="begin"/>
            </w:r>
            <w:r>
              <w:instrText xml:space="preserve"> HYPERLINK "http://zfcg.czt.zj.gov.cn/bidClientTemplate/2019-09-24/12975.html" </w:instrText>
            </w:r>
            <w:r>
              <w:fldChar w:fldCharType="separate"/>
            </w:r>
            <w:r>
              <w:rPr>
                <w:rFonts w:ascii="宋体" w:hAnsi="宋体" w:eastAsia="宋体"/>
                <w:sz w:val="24"/>
                <w:szCs w:val="24"/>
              </w:rPr>
              <w:t>http://zfcg.czt.zj.gov.cn/bidClientTemplate/2019-09-24/12975.html</w:t>
            </w:r>
            <w:r>
              <w:rPr>
                <w:rFonts w:ascii="宋体" w:hAnsi="宋体" w:eastAsia="宋体"/>
                <w:sz w:val="24"/>
                <w:szCs w:val="24"/>
              </w:rPr>
              <w:fldChar w:fldCharType="end"/>
            </w:r>
            <w:r>
              <w:rPr>
                <w:rFonts w:hint="eastAsia" w:ascii="宋体" w:hAnsi="宋体" w:eastAsia="宋体"/>
                <w:sz w:val="24"/>
                <w:szCs w:val="24"/>
              </w:rPr>
              <w:t>）；</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第四步：具体流程</w:t>
            </w:r>
          </w:p>
          <w:p>
            <w:pPr>
              <w:widowControl/>
              <w:adjustRightInd w:val="0"/>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详见</w:t>
            </w:r>
            <w:r>
              <w:rPr>
                <w:rFonts w:hint="eastAsia" w:ascii="宋体" w:hAnsi="宋体" w:eastAsia="宋体"/>
                <w:sz w:val="24"/>
                <w:szCs w:val="24"/>
              </w:rPr>
              <w:t>浙江省“电子交易/不见面开评标”学习专题（网址</w:t>
            </w:r>
            <w:r>
              <w:fldChar w:fldCharType="begin"/>
            </w:r>
            <w:r>
              <w:instrText xml:space="preserve"> HYPERLINK "https://edu.zcygov.cn/luban/e-biding" </w:instrText>
            </w:r>
            <w:r>
              <w:fldChar w:fldCharType="separate"/>
            </w:r>
            <w:r>
              <w:rPr>
                <w:rFonts w:hint="eastAsia" w:ascii="宋体" w:hAnsi="宋体" w:eastAsia="宋体"/>
                <w:sz w:val="24"/>
                <w:szCs w:val="24"/>
              </w:rPr>
              <w:t>https://edu.zcygov.cn/luban/e-biding</w:t>
            </w:r>
            <w:r>
              <w:rPr>
                <w:rFonts w:hint="eastAsia" w:ascii="宋体" w:hAnsi="宋体" w:eastAsia="宋体"/>
                <w:sz w:val="24"/>
                <w:szCs w:val="24"/>
              </w:rPr>
              <w:fldChar w:fldCharType="end"/>
            </w:r>
            <w:r>
              <w:rPr>
                <w:rFonts w:hint="eastAsia" w:ascii="宋体" w:hAnsi="宋体" w:eastAsia="宋体"/>
                <w:sz w:val="24"/>
                <w:szCs w:val="24"/>
              </w:rPr>
              <w:t>）</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提醒：请各响应方合理安排时间，尽快完成第一、二、三步骤，避免影响采购活动的参与。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8</w:t>
            </w:r>
          </w:p>
        </w:tc>
        <w:tc>
          <w:tcPr>
            <w:tcW w:w="1353"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响应文件的递交和接收</w:t>
            </w:r>
          </w:p>
        </w:tc>
        <w:tc>
          <w:tcPr>
            <w:tcW w:w="7479" w:type="dxa"/>
            <w:vAlign w:val="center"/>
          </w:tcPr>
          <w:p>
            <w:pPr>
              <w:widowControl/>
              <w:adjustRightInd w:val="0"/>
              <w:snapToGrid w:val="0"/>
              <w:spacing w:line="440" w:lineRule="exact"/>
              <w:ind w:firstLine="480" w:firstLineChars="200"/>
              <w:jc w:val="left"/>
              <w:rPr>
                <w:rFonts w:ascii="宋体" w:hAnsi="宋体" w:eastAsia="宋体"/>
                <w:sz w:val="24"/>
                <w:szCs w:val="24"/>
                <w:u w:val="single"/>
              </w:rPr>
            </w:pPr>
            <w:r>
              <w:rPr>
                <w:rFonts w:hint="eastAsia" w:ascii="宋体" w:hAnsi="宋体" w:eastAsia="宋体"/>
                <w:sz w:val="24"/>
                <w:szCs w:val="24"/>
              </w:rPr>
              <w:t>1.</w:t>
            </w:r>
            <w:r>
              <w:rPr>
                <w:rFonts w:hint="eastAsia" w:ascii="宋体" w:hAnsi="宋体" w:eastAsia="宋体"/>
                <w:bCs/>
                <w:sz w:val="24"/>
                <w:szCs w:val="24"/>
              </w:rPr>
              <w:t>响应文件的提交方式、提交截止时间和地点，开启方式、时间和地点</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详见《第一章 征集公告》</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2.本项目实行电子化采购。分电子响应文件、以介质存储的数据电文形式的备份响应文件两类。不同形式递交的文件内容均应一致：</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⑴电子响应文件，须按政采云平台供应商项目采购操作指南及本征集文件要求在线递交（如政采云平台系统有变化的，不再另行通知）。响应方应当在响应文件提交截止时间前完成电子响应文件的传输递交，并可以补充、修改或者撤回电子响应文件。补充或者修改电子响应文件的，应当先行撤回原文件，补充、修改后重新传输递交。提交截止时间前未完成传输的，视为撤回响应文件。提交截止时间后拒收响应文件。</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⑵备份响应文件，是指与电子响应文件同时生成的数据电文形式的电子文件（用于电子响应文件解密异常时应急使用），其他方式编制的备份响应文件视为无效备份响应文件。</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响应方可视自身情况自行提供1份备份响应文件，</w:t>
            </w:r>
            <w:r>
              <w:rPr>
                <w:rFonts w:hint="eastAsia" w:ascii="宋体" w:hAnsi="宋体" w:eastAsia="宋体"/>
                <w:b/>
                <w:sz w:val="24"/>
                <w:szCs w:val="24"/>
              </w:rPr>
              <w:t>不做强制要求</w:t>
            </w:r>
            <w:r>
              <w:rPr>
                <w:rFonts w:hint="eastAsia" w:ascii="宋体" w:hAnsi="宋体" w:eastAsia="宋体"/>
                <w:sz w:val="24"/>
                <w:szCs w:val="24"/>
              </w:rPr>
              <w:t>。备份响应文件未按规定密封或标记，或超过响应文件提交截止时间送达等原因的，将被拒收。因备份响应文件无法正常打开或正常显示等所引起的一切后果，由响应方自行承担。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9</w:t>
            </w:r>
          </w:p>
        </w:tc>
        <w:tc>
          <w:tcPr>
            <w:tcW w:w="1353"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评审办法及标准</w:t>
            </w:r>
          </w:p>
        </w:tc>
        <w:tc>
          <w:tcPr>
            <w:tcW w:w="7479" w:type="dxa"/>
            <w:vAlign w:val="center"/>
          </w:tcPr>
          <w:p>
            <w:pPr>
              <w:widowControl/>
              <w:adjustRightInd w:val="0"/>
              <w:snapToGrid w:val="0"/>
              <w:spacing w:line="440" w:lineRule="exact"/>
              <w:ind w:firstLine="480" w:firstLineChars="200"/>
              <w:jc w:val="left"/>
              <w:rPr>
                <w:rFonts w:ascii="宋体" w:hAnsi="宋体" w:eastAsia="宋体"/>
                <w:sz w:val="24"/>
                <w:szCs w:val="24"/>
              </w:rPr>
            </w:pPr>
            <w:r>
              <w:rPr>
                <w:rFonts w:hint="eastAsia" w:ascii="MS Mincho" w:hAnsi="MS Mincho" w:eastAsia="MS Mincho" w:cs="MS Mincho"/>
                <w:sz w:val="24"/>
              </w:rPr>
              <w:t>☑</w:t>
            </w:r>
            <w:r>
              <w:rPr>
                <w:rFonts w:hint="eastAsia" w:ascii="宋体" w:hAnsi="宋体" w:eastAsia="宋体"/>
                <w:sz w:val="24"/>
                <w:szCs w:val="24"/>
              </w:rPr>
              <w:t>价格优先法/□质量优先法，具体标准见《第四章 评审办法及标准》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10</w:t>
            </w:r>
          </w:p>
        </w:tc>
        <w:tc>
          <w:tcPr>
            <w:tcW w:w="1353"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入围结果公告</w:t>
            </w:r>
          </w:p>
        </w:tc>
        <w:tc>
          <w:tcPr>
            <w:tcW w:w="7479" w:type="dxa"/>
            <w:vAlign w:val="center"/>
          </w:tcPr>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入围供应商确定之日起2个工作日内，将在浙江省政府采购网发布入围结果公告（入围供应商为中小企业的，其相关声明函将随入围结果同时公告），公告期限为1个工作日。</w:t>
            </w:r>
          </w:p>
          <w:p>
            <w:pPr>
              <w:widowControl/>
              <w:adjustRightInd w:val="0"/>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入围通知书：发布入围结果公告的同时签发中标通知书。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11</w:t>
            </w:r>
          </w:p>
        </w:tc>
        <w:tc>
          <w:tcPr>
            <w:tcW w:w="1353"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付款方式</w:t>
            </w:r>
          </w:p>
        </w:tc>
        <w:tc>
          <w:tcPr>
            <w:tcW w:w="7479" w:type="dxa"/>
            <w:vAlign w:val="center"/>
          </w:tcPr>
          <w:p>
            <w:pPr>
              <w:widowControl/>
              <w:adjustRightInd w:val="0"/>
              <w:snapToGrid w:val="0"/>
              <w:spacing w:line="440" w:lineRule="exact"/>
              <w:ind w:firstLine="480" w:firstLineChars="200"/>
              <w:jc w:val="left"/>
              <w:rPr>
                <w:rFonts w:ascii="仿宋" w:hAnsi="仿宋" w:eastAsia="仿宋"/>
                <w:sz w:val="24"/>
                <w:szCs w:val="24"/>
              </w:rPr>
            </w:pPr>
            <w:r>
              <w:rPr>
                <w:rFonts w:hint="eastAsia" w:ascii="宋体" w:hAnsi="宋体" w:eastAsia="宋体"/>
                <w:sz w:val="24"/>
                <w:szCs w:val="24"/>
              </w:rPr>
              <w:t>详见《第二章 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12</w:t>
            </w:r>
          </w:p>
        </w:tc>
        <w:tc>
          <w:tcPr>
            <w:tcW w:w="1353"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框架协议签订时间</w:t>
            </w:r>
          </w:p>
        </w:tc>
        <w:tc>
          <w:tcPr>
            <w:tcW w:w="7479" w:type="dxa"/>
            <w:vAlign w:val="center"/>
          </w:tcPr>
          <w:p>
            <w:pPr>
              <w:widowControl/>
              <w:adjustRightInd w:val="0"/>
              <w:snapToGrid w:val="0"/>
              <w:spacing w:line="440" w:lineRule="exact"/>
              <w:ind w:firstLine="480" w:firstLineChars="200"/>
              <w:jc w:val="left"/>
              <w:rPr>
                <w:rFonts w:ascii="仿宋" w:hAnsi="仿宋" w:eastAsia="仿宋"/>
                <w:sz w:val="24"/>
                <w:szCs w:val="24"/>
              </w:rPr>
            </w:pPr>
            <w:r>
              <w:rPr>
                <w:rFonts w:hint="eastAsia" w:ascii="宋体" w:hAnsi="宋体" w:eastAsia="宋体"/>
                <w:sz w:val="24"/>
                <w:szCs w:val="24"/>
              </w:rPr>
              <w:t>入围通知书发出后30日内。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13</w:t>
            </w:r>
          </w:p>
        </w:tc>
        <w:tc>
          <w:tcPr>
            <w:tcW w:w="1353"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响应文件有效期</w:t>
            </w:r>
          </w:p>
        </w:tc>
        <w:tc>
          <w:tcPr>
            <w:tcW w:w="7479" w:type="dxa"/>
            <w:vAlign w:val="center"/>
          </w:tcPr>
          <w:p>
            <w:pPr>
              <w:spacing w:line="440" w:lineRule="exact"/>
              <w:rPr>
                <w:rFonts w:ascii="宋体" w:hAnsi="宋体" w:eastAsia="宋体"/>
                <w:sz w:val="24"/>
                <w:szCs w:val="24"/>
              </w:rPr>
            </w:pPr>
            <w:r>
              <w:rPr>
                <w:rFonts w:hint="eastAsia" w:ascii="宋体" w:hAnsi="宋体" w:eastAsia="宋体"/>
                <w:sz w:val="24"/>
                <w:szCs w:val="24"/>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14</w:t>
            </w:r>
          </w:p>
        </w:tc>
        <w:tc>
          <w:tcPr>
            <w:tcW w:w="1353"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效力标准</w:t>
            </w:r>
          </w:p>
        </w:tc>
        <w:tc>
          <w:tcPr>
            <w:tcW w:w="7479" w:type="dxa"/>
            <w:vAlign w:val="center"/>
          </w:tcPr>
          <w:p>
            <w:pPr>
              <w:spacing w:line="440" w:lineRule="exact"/>
              <w:rPr>
                <w:rFonts w:ascii="宋体" w:hAnsi="宋体" w:eastAsia="宋体"/>
                <w:sz w:val="24"/>
                <w:szCs w:val="24"/>
              </w:rPr>
            </w:pPr>
            <w:r>
              <w:rPr>
                <w:rFonts w:hint="eastAsia" w:ascii="宋体" w:hAnsi="宋体" w:eastAsia="宋体"/>
                <w:sz w:val="24"/>
                <w:szCs w:val="24"/>
              </w:rPr>
              <w:t>其他内容与前附表有冲突的，以“前附表”为准。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15</w:t>
            </w:r>
          </w:p>
        </w:tc>
        <w:tc>
          <w:tcPr>
            <w:tcW w:w="1353" w:type="dxa"/>
            <w:vAlign w:val="center"/>
          </w:tcPr>
          <w:p>
            <w:pPr>
              <w:adjustRightInd w:val="0"/>
              <w:snapToGrid w:val="0"/>
              <w:spacing w:line="440" w:lineRule="exact"/>
              <w:jc w:val="center"/>
              <w:rPr>
                <w:rFonts w:ascii="宋体" w:hAnsi="宋体" w:eastAsia="宋体"/>
                <w:sz w:val="24"/>
                <w:szCs w:val="24"/>
              </w:rPr>
            </w:pPr>
            <w:r>
              <w:rPr>
                <w:rFonts w:hint="eastAsia" w:ascii="宋体" w:hAnsi="宋体" w:eastAsia="宋体"/>
                <w:sz w:val="24"/>
                <w:szCs w:val="24"/>
              </w:rPr>
              <w:t>解释权</w:t>
            </w:r>
          </w:p>
        </w:tc>
        <w:tc>
          <w:tcPr>
            <w:tcW w:w="7479" w:type="dxa"/>
            <w:vAlign w:val="center"/>
          </w:tcPr>
          <w:p>
            <w:pPr>
              <w:spacing w:line="440" w:lineRule="exact"/>
              <w:rPr>
                <w:rFonts w:ascii="宋体" w:hAnsi="宋体" w:eastAsia="宋体"/>
                <w:sz w:val="24"/>
                <w:szCs w:val="24"/>
              </w:rPr>
            </w:pPr>
            <w:r>
              <w:rPr>
                <w:rFonts w:hint="eastAsia" w:ascii="宋体" w:hAnsi="宋体" w:eastAsia="宋体"/>
                <w:sz w:val="24"/>
                <w:szCs w:val="24"/>
              </w:rPr>
              <w:t>本征集文件的解释权属于征集人（主管预算单位）。</w:t>
            </w:r>
          </w:p>
        </w:tc>
      </w:tr>
    </w:tbl>
    <w:p>
      <w:pPr>
        <w:spacing w:line="360" w:lineRule="auto"/>
        <w:ind w:firstLine="482"/>
        <w:jc w:val="left"/>
        <w:rPr>
          <w:rFonts w:ascii="宋体" w:hAnsi="宋体" w:eastAsia="宋体"/>
          <w:sz w:val="24"/>
          <w:szCs w:val="24"/>
        </w:rPr>
      </w:pPr>
    </w:p>
    <w:p>
      <w:pPr>
        <w:spacing w:line="360" w:lineRule="auto"/>
        <w:ind w:firstLine="482"/>
        <w:jc w:val="left"/>
        <w:rPr>
          <w:rFonts w:ascii="宋体" w:hAnsi="宋体" w:eastAsia="宋体"/>
          <w:sz w:val="24"/>
          <w:szCs w:val="24"/>
        </w:rPr>
        <w:sectPr>
          <w:pgSz w:w="11906" w:h="16838"/>
          <w:pgMar w:top="1440" w:right="1800" w:bottom="1440" w:left="1800" w:header="851" w:footer="992" w:gutter="0"/>
          <w:cols w:space="425" w:num="1"/>
          <w:docGrid w:type="lines" w:linePitch="312" w:charSpace="0"/>
        </w:sectPr>
      </w:pPr>
    </w:p>
    <w:p>
      <w:pPr>
        <w:pStyle w:val="3"/>
        <w:spacing w:before="0" w:after="0" w:line="360" w:lineRule="auto"/>
        <w:ind w:firstLine="424" w:firstLineChars="151"/>
        <w:rPr>
          <w:sz w:val="28"/>
        </w:rPr>
      </w:pPr>
      <w:r>
        <w:rPr>
          <w:rFonts w:hint="eastAsia"/>
          <w:sz w:val="28"/>
        </w:rPr>
        <w:t>一、总则</w:t>
      </w:r>
    </w:p>
    <w:p>
      <w:pPr>
        <w:pStyle w:val="4"/>
        <w:spacing w:before="0" w:after="0"/>
        <w:ind w:firstLine="424" w:firstLineChars="176"/>
        <w:rPr>
          <w:sz w:val="24"/>
        </w:rPr>
      </w:pPr>
      <w:r>
        <w:rPr>
          <w:rFonts w:hint="eastAsia"/>
          <w:sz w:val="24"/>
        </w:rPr>
        <w:t>（一）适用范围</w:t>
      </w:r>
    </w:p>
    <w:p>
      <w:pPr>
        <w:adjustRightInd w:val="0"/>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仅适用于本次征集文件中采购项目的征集、响应、评标、定标、验收、合同履约、付款等行为（法律法规另有规定的，从其规定）。</w:t>
      </w:r>
    </w:p>
    <w:p>
      <w:pPr>
        <w:pStyle w:val="4"/>
        <w:spacing w:before="0" w:after="0"/>
        <w:ind w:firstLine="424" w:firstLineChars="176"/>
        <w:rPr>
          <w:sz w:val="24"/>
        </w:rPr>
      </w:pPr>
      <w:r>
        <w:rPr>
          <w:rFonts w:hint="eastAsia"/>
          <w:sz w:val="24"/>
        </w:rPr>
        <w:t xml:space="preserve">（二）定义 </w:t>
      </w:r>
    </w:p>
    <w:p>
      <w:pPr>
        <w:adjustRightInd w:val="0"/>
        <w:snapToGrid w:val="0"/>
        <w:spacing w:line="440" w:lineRule="exact"/>
        <w:ind w:firstLine="480" w:firstLineChars="200"/>
        <w:rPr>
          <w:sz w:val="24"/>
        </w:rPr>
      </w:pPr>
      <w:r>
        <w:rPr>
          <w:rFonts w:hint="eastAsia"/>
          <w:sz w:val="24"/>
        </w:rPr>
        <w:t>1.征集人：指组织本项目采购的</w:t>
      </w:r>
      <w:r>
        <w:rPr>
          <w:rFonts w:hint="eastAsia" w:ascii="宋体" w:hAnsi="宋体"/>
          <w:sz w:val="24"/>
          <w:szCs w:val="20"/>
          <w:u w:val="single"/>
        </w:rPr>
        <w:t>浦江县财政项目预算审核中心</w:t>
      </w:r>
      <w:r>
        <w:rPr>
          <w:rFonts w:hint="eastAsia"/>
          <w:sz w:val="24"/>
          <w:u w:val="single"/>
        </w:rPr>
        <w:t>、金华市公共资源交易中心浦江县分中心</w:t>
      </w:r>
      <w:r>
        <w:rPr>
          <w:rFonts w:hint="eastAsia"/>
          <w:sz w:val="24"/>
        </w:rPr>
        <w:t>。</w:t>
      </w:r>
    </w:p>
    <w:p>
      <w:pPr>
        <w:adjustRightInd w:val="0"/>
        <w:snapToGrid w:val="0"/>
        <w:spacing w:line="440" w:lineRule="exact"/>
        <w:ind w:firstLine="480" w:firstLineChars="200"/>
        <w:rPr>
          <w:sz w:val="24"/>
        </w:rPr>
      </w:pPr>
      <w:r>
        <w:rPr>
          <w:rFonts w:hint="eastAsia"/>
          <w:sz w:val="24"/>
        </w:rPr>
        <w:t>2.响应方：</w:t>
      </w:r>
      <w:r>
        <w:rPr>
          <w:sz w:val="24"/>
        </w:rPr>
        <w:t>指响应</w:t>
      </w:r>
      <w:r>
        <w:rPr>
          <w:rFonts w:hint="eastAsia"/>
          <w:sz w:val="24"/>
        </w:rPr>
        <w:t>征集</w:t>
      </w:r>
      <w:r>
        <w:rPr>
          <w:sz w:val="24"/>
        </w:rPr>
        <w:t>、参加</w:t>
      </w:r>
      <w:r>
        <w:rPr>
          <w:rFonts w:hint="eastAsia"/>
          <w:sz w:val="24"/>
        </w:rPr>
        <w:t>响应</w:t>
      </w:r>
      <w:r>
        <w:rPr>
          <w:sz w:val="24"/>
        </w:rPr>
        <w:t>竞争的法人、其他组织或者自然人</w:t>
      </w:r>
      <w:r>
        <w:rPr>
          <w:rFonts w:hint="eastAsia"/>
          <w:sz w:val="24"/>
        </w:rPr>
        <w:t>。</w:t>
      </w:r>
    </w:p>
    <w:p>
      <w:pPr>
        <w:adjustRightInd w:val="0"/>
        <w:snapToGrid w:val="0"/>
        <w:spacing w:line="440" w:lineRule="exact"/>
        <w:ind w:firstLine="480" w:firstLineChars="200"/>
        <w:rPr>
          <w:sz w:val="24"/>
        </w:rPr>
      </w:pPr>
      <w:r>
        <w:rPr>
          <w:rFonts w:hint="eastAsia"/>
          <w:sz w:val="24"/>
        </w:rPr>
        <w:t>3.采购人：指根据本次征集结果采购相应货物、服务项目的国家机关、事业单位和团体组织。</w:t>
      </w:r>
    </w:p>
    <w:p>
      <w:pPr>
        <w:adjustRightInd w:val="0"/>
        <w:snapToGrid w:val="0"/>
        <w:spacing w:line="440" w:lineRule="exact"/>
        <w:ind w:firstLine="480" w:firstLineChars="200"/>
        <w:rPr>
          <w:sz w:val="24"/>
        </w:rPr>
      </w:pPr>
      <w:r>
        <w:rPr>
          <w:rFonts w:hint="eastAsia"/>
          <w:sz w:val="24"/>
        </w:rPr>
        <w:t>4.货物：指征集文件规定响应方须向采购人提供的一切材料、设备、机械、仪器仪表、工具及其他有关技术资料和文字材料。</w:t>
      </w:r>
    </w:p>
    <w:p>
      <w:pPr>
        <w:adjustRightInd w:val="0"/>
        <w:snapToGrid w:val="0"/>
        <w:spacing w:line="440" w:lineRule="exact"/>
        <w:ind w:firstLine="480" w:firstLineChars="200"/>
        <w:rPr>
          <w:sz w:val="24"/>
        </w:rPr>
      </w:pPr>
      <w:r>
        <w:rPr>
          <w:rFonts w:hint="eastAsia"/>
          <w:sz w:val="24"/>
        </w:rPr>
        <w:t>5.服务：指征集文件规定响应方须承担的劳务以及其他类似的义务。</w:t>
      </w:r>
    </w:p>
    <w:p>
      <w:pPr>
        <w:adjustRightInd w:val="0"/>
        <w:snapToGrid w:val="0"/>
        <w:spacing w:line="440" w:lineRule="exact"/>
        <w:ind w:firstLine="480" w:firstLineChars="200"/>
        <w:rPr>
          <w:sz w:val="24"/>
        </w:rPr>
      </w:pPr>
      <w:r>
        <w:rPr>
          <w:rFonts w:hint="eastAsia"/>
          <w:sz w:val="24"/>
        </w:rPr>
        <w:t>6.项目：指响应方按征集文件规定向采购人提供的需求总称。</w:t>
      </w:r>
    </w:p>
    <w:p>
      <w:pPr>
        <w:adjustRightInd w:val="0"/>
        <w:snapToGrid w:val="0"/>
        <w:spacing w:line="440" w:lineRule="exact"/>
        <w:ind w:firstLine="480" w:firstLineChars="200"/>
        <w:rPr>
          <w:sz w:val="24"/>
        </w:rPr>
      </w:pPr>
      <w:r>
        <w:rPr>
          <w:rFonts w:hint="eastAsia"/>
          <w:sz w:val="24"/>
        </w:rPr>
        <w:t>7.电子交易平台：指</w:t>
      </w:r>
      <w:r>
        <w:rPr>
          <w:sz w:val="24"/>
        </w:rPr>
        <w:t>政府采购项目电子交易平台</w:t>
      </w:r>
      <w:r>
        <w:rPr>
          <w:rFonts w:hint="eastAsia"/>
          <w:sz w:val="24"/>
        </w:rPr>
        <w:t>，即</w:t>
      </w:r>
      <w:r>
        <w:rPr>
          <w:sz w:val="24"/>
        </w:rPr>
        <w:t>政采云平台。</w:t>
      </w:r>
    </w:p>
    <w:p>
      <w:pPr>
        <w:adjustRightInd w:val="0"/>
        <w:snapToGrid w:val="0"/>
        <w:spacing w:line="440" w:lineRule="exact"/>
        <w:ind w:firstLine="480" w:firstLineChars="200"/>
        <w:rPr>
          <w:sz w:val="24"/>
        </w:rPr>
      </w:pPr>
      <w:r>
        <w:rPr>
          <w:rFonts w:hint="eastAsia"/>
          <w:sz w:val="24"/>
        </w:rPr>
        <w:t>8.中小企业：</w:t>
      </w:r>
      <w:r>
        <w:rPr>
          <w:sz w:val="24"/>
        </w:rPr>
        <w:t>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440" w:lineRule="exact"/>
        <w:ind w:firstLine="480" w:firstLineChars="200"/>
        <w:rPr>
          <w:sz w:val="24"/>
        </w:rPr>
      </w:pPr>
      <w:r>
        <w:rPr>
          <w:sz w:val="24"/>
        </w:rPr>
        <w:t>符合中小企业划分标准的个体工商户，在政府采购活动中视同中小企业。</w:t>
      </w:r>
    </w:p>
    <w:p>
      <w:pPr>
        <w:pStyle w:val="4"/>
        <w:spacing w:before="0" w:after="0"/>
        <w:ind w:firstLine="424" w:firstLineChars="176"/>
        <w:rPr>
          <w:sz w:val="24"/>
        </w:rPr>
      </w:pPr>
      <w:r>
        <w:rPr>
          <w:rFonts w:hint="eastAsia"/>
          <w:sz w:val="24"/>
        </w:rPr>
        <w:t>（三）响应方及委托有关说明</w:t>
      </w:r>
    </w:p>
    <w:p>
      <w:pPr>
        <w:adjustRightInd w:val="0"/>
        <w:snapToGrid w:val="0"/>
        <w:spacing w:line="440" w:lineRule="exact"/>
        <w:ind w:firstLine="480" w:firstLineChars="200"/>
        <w:rPr>
          <w:sz w:val="24"/>
        </w:rPr>
      </w:pPr>
      <w:r>
        <w:rPr>
          <w:rFonts w:hint="eastAsia"/>
          <w:sz w:val="24"/>
        </w:rPr>
        <w:t>1.如授权代表不是法定代表人，须有法定代表人出具的授权委托书（格式见附件）。</w:t>
      </w:r>
    </w:p>
    <w:p>
      <w:pPr>
        <w:adjustRightInd w:val="0"/>
        <w:snapToGrid w:val="0"/>
        <w:spacing w:line="440" w:lineRule="exact"/>
        <w:ind w:firstLine="480" w:firstLineChars="200"/>
        <w:rPr>
          <w:sz w:val="24"/>
        </w:rPr>
      </w:pPr>
      <w:r>
        <w:rPr>
          <w:rFonts w:hint="eastAsia"/>
          <w:sz w:val="24"/>
        </w:rPr>
        <w:t>2.响应方响应所使用的资格、信誉、荣誉、业绩与企业认证等必须为本法人所拥有。响应方响应所使用的采购项目实施人员必须为响应方员工（或响应方控股公司正式员工）。</w:t>
      </w:r>
    </w:p>
    <w:p>
      <w:pPr>
        <w:adjustRightInd w:val="0"/>
        <w:snapToGrid w:val="0"/>
        <w:spacing w:line="440" w:lineRule="exact"/>
        <w:ind w:firstLine="480" w:firstLineChars="200"/>
        <w:rPr>
          <w:sz w:val="24"/>
        </w:rPr>
      </w:pPr>
      <w:r>
        <w:rPr>
          <w:rFonts w:hint="eastAsia"/>
          <w:sz w:val="24"/>
        </w:rPr>
        <w:t>3.单位负责人为同一人或者存在直接控股、管理关系的不同供应商，不得参加同一合同项下的政府采购活动。</w:t>
      </w:r>
    </w:p>
    <w:p>
      <w:pPr>
        <w:adjustRightInd w:val="0"/>
        <w:snapToGrid w:val="0"/>
        <w:spacing w:line="440" w:lineRule="exact"/>
        <w:ind w:firstLine="480" w:firstLineChars="200"/>
        <w:rPr>
          <w:sz w:val="24"/>
        </w:rPr>
      </w:pPr>
      <w:r>
        <w:rPr>
          <w:rFonts w:hint="eastAsia"/>
          <w:sz w:val="24"/>
        </w:rPr>
        <w:t>4.响应方应仔细阅读征集文件的所有内容，按照征集文件的要求提交响应文件，并对所提供的全部资料的真实性承担法律责任。</w:t>
      </w:r>
    </w:p>
    <w:p>
      <w:pPr>
        <w:pStyle w:val="4"/>
        <w:spacing w:before="0" w:after="0"/>
        <w:ind w:firstLine="424" w:firstLineChars="176"/>
        <w:rPr>
          <w:sz w:val="24"/>
        </w:rPr>
      </w:pPr>
      <w:r>
        <w:rPr>
          <w:rFonts w:hint="eastAsia"/>
          <w:sz w:val="24"/>
        </w:rPr>
        <w:t>（四）响应费用</w:t>
      </w:r>
    </w:p>
    <w:p>
      <w:pPr>
        <w:adjustRightInd w:val="0"/>
        <w:snapToGrid w:val="0"/>
        <w:spacing w:line="440" w:lineRule="exact"/>
        <w:ind w:firstLine="480" w:firstLineChars="200"/>
        <w:rPr>
          <w:sz w:val="24"/>
        </w:rPr>
      </w:pPr>
      <w:r>
        <w:rPr>
          <w:rFonts w:hint="eastAsia"/>
          <w:sz w:val="24"/>
        </w:rPr>
        <w:t>不论响应结果如何，响应方均应自行承担所有与响应有关的全部费用（征集文件有其他相反规定除外）。</w:t>
      </w:r>
    </w:p>
    <w:p>
      <w:pPr>
        <w:pStyle w:val="4"/>
        <w:spacing w:before="0" w:after="0"/>
        <w:ind w:firstLine="424" w:firstLineChars="176"/>
        <w:rPr>
          <w:sz w:val="24"/>
        </w:rPr>
      </w:pPr>
      <w:r>
        <w:rPr>
          <w:rFonts w:hint="eastAsia"/>
          <w:sz w:val="24"/>
        </w:rPr>
        <w:t>（五）质疑</w:t>
      </w:r>
    </w:p>
    <w:p>
      <w:pPr>
        <w:adjustRightInd w:val="0"/>
        <w:snapToGrid w:val="0"/>
        <w:spacing w:line="440" w:lineRule="exact"/>
        <w:ind w:firstLine="480" w:firstLineChars="200"/>
        <w:rPr>
          <w:sz w:val="24"/>
        </w:rPr>
      </w:pPr>
      <w:r>
        <w:rPr>
          <w:rFonts w:hint="eastAsia"/>
          <w:sz w:val="24"/>
        </w:rPr>
        <w:t>1.响应方认为征集过程或入围结果使自己的合法权益受到损害的，可以在入围结果公告期限届满之日起七个工作日内，以书面形式向征集人提出质疑。</w:t>
      </w:r>
    </w:p>
    <w:p>
      <w:pPr>
        <w:adjustRightInd w:val="0"/>
        <w:snapToGrid w:val="0"/>
        <w:spacing w:line="440" w:lineRule="exact"/>
        <w:ind w:firstLine="480" w:firstLineChars="200"/>
        <w:rPr>
          <w:sz w:val="24"/>
        </w:rPr>
      </w:pPr>
      <w:r>
        <w:rPr>
          <w:rFonts w:hint="eastAsia"/>
          <w:sz w:val="24"/>
        </w:rPr>
        <w:t xml:space="preserve"> 2.质疑应当以书面形式提出，格式见《政府采购质疑和投诉办法》（财政部令第94号）附件范本，下载网址：浙江政府采购网，位置：“首页－下载专区－质疑投诉模板”。供应商提出质疑应当提交质疑函和必要的证明材料。供应商应当在法定质疑期内一次性提出针对同一采购程序环节的质疑。</w:t>
      </w:r>
    </w:p>
    <w:p>
      <w:pPr>
        <w:adjustRightInd w:val="0"/>
        <w:snapToGrid w:val="0"/>
        <w:spacing w:line="440" w:lineRule="exact"/>
        <w:ind w:firstLine="480" w:firstLineChars="200"/>
        <w:rPr>
          <w:sz w:val="24"/>
        </w:rPr>
      </w:pPr>
      <w:r>
        <w:rPr>
          <w:rFonts w:hint="eastAsia"/>
          <w:sz w:val="24"/>
        </w:rPr>
        <w:t>质疑函应当包括下列内容：</w:t>
      </w:r>
    </w:p>
    <w:p>
      <w:pPr>
        <w:adjustRightInd w:val="0"/>
        <w:snapToGrid w:val="0"/>
        <w:spacing w:line="440" w:lineRule="exact"/>
        <w:ind w:firstLine="480" w:firstLineChars="200"/>
        <w:rPr>
          <w:sz w:val="24"/>
        </w:rPr>
      </w:pPr>
      <w:r>
        <w:rPr>
          <w:rFonts w:hint="eastAsia"/>
          <w:sz w:val="24"/>
        </w:rPr>
        <w:t>⑴供应商的姓名或者名称、地址、邮编、联系人及联系电话；</w:t>
      </w:r>
    </w:p>
    <w:p>
      <w:pPr>
        <w:adjustRightInd w:val="0"/>
        <w:snapToGrid w:val="0"/>
        <w:spacing w:line="440" w:lineRule="exact"/>
        <w:ind w:firstLine="480" w:firstLineChars="200"/>
        <w:rPr>
          <w:sz w:val="24"/>
        </w:rPr>
      </w:pPr>
      <w:r>
        <w:rPr>
          <w:rFonts w:hint="eastAsia"/>
          <w:sz w:val="24"/>
        </w:rPr>
        <w:t>⑵质疑项目的名称、编号；</w:t>
      </w:r>
    </w:p>
    <w:p>
      <w:pPr>
        <w:adjustRightInd w:val="0"/>
        <w:snapToGrid w:val="0"/>
        <w:spacing w:line="440" w:lineRule="exact"/>
        <w:ind w:firstLine="480" w:firstLineChars="200"/>
        <w:rPr>
          <w:sz w:val="24"/>
        </w:rPr>
      </w:pPr>
      <w:r>
        <w:rPr>
          <w:rFonts w:hint="eastAsia"/>
          <w:sz w:val="24"/>
        </w:rPr>
        <w:t>⑶具体、明确的质疑事项和与质疑事项相关的请求；</w:t>
      </w:r>
    </w:p>
    <w:p>
      <w:pPr>
        <w:adjustRightInd w:val="0"/>
        <w:snapToGrid w:val="0"/>
        <w:spacing w:line="440" w:lineRule="exact"/>
        <w:ind w:firstLine="480" w:firstLineChars="200"/>
        <w:rPr>
          <w:sz w:val="24"/>
        </w:rPr>
      </w:pPr>
      <w:r>
        <w:rPr>
          <w:rFonts w:hint="eastAsia"/>
          <w:sz w:val="24"/>
        </w:rPr>
        <w:t>⑷事实依据；</w:t>
      </w:r>
    </w:p>
    <w:p>
      <w:pPr>
        <w:adjustRightInd w:val="0"/>
        <w:snapToGrid w:val="0"/>
        <w:spacing w:line="440" w:lineRule="exact"/>
        <w:ind w:firstLine="480" w:firstLineChars="200"/>
        <w:rPr>
          <w:sz w:val="24"/>
        </w:rPr>
      </w:pPr>
      <w:r>
        <w:rPr>
          <w:rFonts w:hint="eastAsia"/>
          <w:sz w:val="24"/>
        </w:rPr>
        <w:t>⑸必要的法律依据；</w:t>
      </w:r>
    </w:p>
    <w:p>
      <w:pPr>
        <w:adjustRightInd w:val="0"/>
        <w:snapToGrid w:val="0"/>
        <w:spacing w:line="440" w:lineRule="exact"/>
        <w:ind w:firstLine="480" w:firstLineChars="200"/>
        <w:rPr>
          <w:sz w:val="24"/>
        </w:rPr>
      </w:pPr>
      <w:r>
        <w:rPr>
          <w:rFonts w:hint="eastAsia"/>
          <w:sz w:val="24"/>
        </w:rPr>
        <w:t>⑹提出质疑的日期。</w:t>
      </w:r>
    </w:p>
    <w:p>
      <w:pPr>
        <w:adjustRightInd w:val="0"/>
        <w:snapToGrid w:val="0"/>
        <w:spacing w:line="440" w:lineRule="exact"/>
        <w:ind w:firstLine="480" w:firstLineChars="200"/>
        <w:rPr>
          <w:sz w:val="24"/>
        </w:rPr>
      </w:pPr>
      <w:r>
        <w:rPr>
          <w:rFonts w:hint="eastAsia"/>
          <w:sz w:val="24"/>
        </w:rPr>
        <w:t>供应商为自然人的，应当由本人签字；供应商为法人或者其他组织的，应当由法定代表人、主要负责人，或者其授权代表签字或者盖章，并加盖公章。质疑应明确阐述征集过程或入围结果中使自己合法权益受到损害的实质性内容，提供相关事实、依据和证据及其来源或线索，便于有关单位调查、答复和处理，质疑函不符合《政府采购质疑和投诉办法》相关规定的，应在规定期限内补齐的，征集人自收到补齐材料之日起受理；逾期未补齐的，按自动撤回质疑处理。</w:t>
      </w:r>
    </w:p>
    <w:p>
      <w:pPr>
        <w:pStyle w:val="4"/>
        <w:spacing w:before="0" w:after="0"/>
        <w:ind w:firstLine="424" w:firstLineChars="176"/>
        <w:rPr>
          <w:sz w:val="24"/>
        </w:rPr>
      </w:pPr>
      <w:r>
        <w:rPr>
          <w:rFonts w:hint="eastAsia"/>
          <w:sz w:val="24"/>
        </w:rPr>
        <w:t xml:space="preserve">（六）征集文件的澄清与修改 </w:t>
      </w:r>
    </w:p>
    <w:p>
      <w:pPr>
        <w:adjustRightInd w:val="0"/>
        <w:snapToGrid w:val="0"/>
        <w:spacing w:line="440" w:lineRule="exact"/>
        <w:ind w:firstLine="480" w:firstLineChars="200"/>
        <w:rPr>
          <w:sz w:val="24"/>
        </w:rPr>
      </w:pPr>
      <w:r>
        <w:rPr>
          <w:rFonts w:hint="eastAsia"/>
          <w:sz w:val="24"/>
        </w:rPr>
        <w:t>1.响应方应认真阅读本征集文件，发现其中有误或有不合理要求的，响应方应当于公告发布之日起至公告期限满第7个工作日内以书面形式向征集人提出。征集人将在规定的时间内，在财政部门指定的政府采购信息发布媒体上发布更正公告，并以书面形式通知所有征集文件收受人。逾期提出征集人将不予受理。</w:t>
      </w:r>
    </w:p>
    <w:p>
      <w:pPr>
        <w:adjustRightInd w:val="0"/>
        <w:snapToGrid w:val="0"/>
        <w:spacing w:line="440" w:lineRule="exact"/>
        <w:ind w:firstLine="480" w:firstLineChars="200"/>
        <w:rPr>
          <w:sz w:val="24"/>
        </w:rPr>
      </w:pPr>
      <w:r>
        <w:rPr>
          <w:rFonts w:hint="eastAsia"/>
          <w:sz w:val="24"/>
        </w:rPr>
        <w:t>2.征集人主动进行的澄清、修改：征集人无论出于何种原因，均可主动对征集文件中的相关事项，用补充文件等方式进行澄清和修改。</w:t>
      </w:r>
    </w:p>
    <w:p>
      <w:pPr>
        <w:adjustRightInd w:val="0"/>
        <w:snapToGrid w:val="0"/>
        <w:spacing w:line="440" w:lineRule="exact"/>
        <w:ind w:firstLine="480" w:firstLineChars="200"/>
        <w:rPr>
          <w:sz w:val="24"/>
        </w:rPr>
      </w:pPr>
      <w:r>
        <w:rPr>
          <w:rFonts w:hint="eastAsia"/>
          <w:sz w:val="24"/>
        </w:rPr>
        <w:t>3.征集文件澄清、答复、修改、补充的内容为征集文件的组成部分。当征集文件与征集文件的答复、澄清、修改、补充通知就同一内容的表述不一致时，以最后发出的书面文件为准。</w:t>
      </w:r>
    </w:p>
    <w:p>
      <w:pPr>
        <w:pStyle w:val="3"/>
        <w:spacing w:before="0" w:after="0" w:line="360" w:lineRule="auto"/>
        <w:ind w:firstLine="424" w:firstLineChars="151"/>
        <w:rPr>
          <w:sz w:val="28"/>
        </w:rPr>
      </w:pPr>
      <w:r>
        <w:rPr>
          <w:rFonts w:hint="eastAsia"/>
          <w:sz w:val="28"/>
        </w:rPr>
        <w:t>二、响应文件的编制</w:t>
      </w:r>
    </w:p>
    <w:p>
      <w:pPr>
        <w:pStyle w:val="4"/>
        <w:spacing w:before="0" w:after="0"/>
        <w:ind w:firstLine="424" w:firstLineChars="176"/>
        <w:rPr>
          <w:sz w:val="24"/>
        </w:rPr>
      </w:pPr>
      <w:r>
        <w:rPr>
          <w:rFonts w:hint="eastAsia"/>
          <w:sz w:val="24"/>
        </w:rPr>
        <w:t>（一）响应文件编制工具</w:t>
      </w:r>
    </w:p>
    <w:p>
      <w:pPr>
        <w:adjustRightInd w:val="0"/>
        <w:snapToGrid w:val="0"/>
        <w:spacing w:line="440" w:lineRule="exact"/>
        <w:ind w:firstLine="480" w:firstLineChars="200"/>
        <w:rPr>
          <w:sz w:val="24"/>
        </w:rPr>
      </w:pPr>
      <w:r>
        <w:rPr>
          <w:rFonts w:hint="eastAsia"/>
          <w:sz w:val="24"/>
        </w:rPr>
        <w:t>响应文件编制工具为</w:t>
      </w:r>
      <w:r>
        <w:rPr>
          <w:sz w:val="24"/>
        </w:rPr>
        <w:t>政采云电子交易客户端</w:t>
      </w:r>
      <w:r>
        <w:rPr>
          <w:rFonts w:hint="eastAsia"/>
          <w:sz w:val="24"/>
        </w:rPr>
        <w:t>自行下载并安装，请自行前往浙江省政府采购网下载并安装。</w:t>
      </w:r>
    </w:p>
    <w:p>
      <w:pPr>
        <w:pStyle w:val="4"/>
        <w:spacing w:before="0" w:after="0"/>
        <w:ind w:firstLine="424" w:firstLineChars="176"/>
        <w:rPr>
          <w:sz w:val="24"/>
        </w:rPr>
      </w:pPr>
      <w:r>
        <w:rPr>
          <w:rFonts w:hint="eastAsia"/>
          <w:sz w:val="24"/>
        </w:rPr>
        <w:t>（二）响应文件的效力</w:t>
      </w:r>
    </w:p>
    <w:p>
      <w:pPr>
        <w:adjustRightInd w:val="0"/>
        <w:snapToGrid w:val="0"/>
        <w:spacing w:line="440" w:lineRule="exact"/>
        <w:ind w:firstLine="480" w:firstLineChars="200"/>
      </w:pPr>
      <w:r>
        <w:rPr>
          <w:rFonts w:hint="eastAsia"/>
          <w:sz w:val="24"/>
        </w:rPr>
        <w:t>电子响应文件未按时解密，响应方提供了备份响应文件的，以备份响应文件作为依据，否则视为响应文件撤回。电子响应文件已按时解密的，备份响应文件自动失效。</w:t>
      </w:r>
    </w:p>
    <w:p>
      <w:pPr>
        <w:pStyle w:val="4"/>
        <w:spacing w:before="0" w:after="0"/>
        <w:ind w:firstLine="424" w:firstLineChars="176"/>
        <w:rPr>
          <w:sz w:val="24"/>
        </w:rPr>
      </w:pPr>
      <w:r>
        <w:rPr>
          <w:rFonts w:hint="eastAsia"/>
          <w:sz w:val="24"/>
        </w:rPr>
        <w:t>（三）响应文件的组成</w:t>
      </w:r>
    </w:p>
    <w:p>
      <w:pPr>
        <w:spacing w:line="360" w:lineRule="auto"/>
        <w:ind w:firstLine="480" w:firstLineChars="200"/>
        <w:rPr>
          <w:sz w:val="24"/>
        </w:rPr>
      </w:pPr>
      <w:r>
        <w:rPr>
          <w:rFonts w:hint="eastAsia"/>
          <w:sz w:val="24"/>
        </w:rPr>
        <w:t>本项目所称响应文件系指电子响应文件或备份响应文件。响应文件需按照本征集文件和电子交易平台的要求制作、加密并递交。</w:t>
      </w:r>
    </w:p>
    <w:p>
      <w:pPr>
        <w:spacing w:line="360" w:lineRule="auto"/>
        <w:ind w:firstLine="480" w:firstLineChars="200"/>
        <w:rPr>
          <w:sz w:val="24"/>
        </w:rPr>
      </w:pPr>
      <w:r>
        <w:rPr>
          <w:rFonts w:hint="eastAsia"/>
          <w:sz w:val="24"/>
        </w:rPr>
        <w:t>电子响应文件每个标项由资格响应文件、技术商务文件、报价文件三部分组成。备份响应文件的组成和内容等同电子响应文件。备份电子投标文件，按政采云平台项目采购－电子招投标操作指南中上传的电子投标文件格式，以光盘或U盘形式提供。数量为1份。</w:t>
      </w:r>
    </w:p>
    <w:p>
      <w:pPr>
        <w:spacing w:line="360" w:lineRule="auto"/>
        <w:ind w:firstLine="480" w:firstLineChars="200"/>
        <w:rPr>
          <w:sz w:val="24"/>
        </w:rPr>
      </w:pPr>
      <w:r>
        <w:rPr>
          <w:rFonts w:hint="eastAsia"/>
          <w:sz w:val="24"/>
        </w:rPr>
        <w:t>注：法定代表人/执行事务合伙人授权委托书、响应声明书、报价明细表必须按征集文件格式要求正确签署并加盖响应方公章。响应文件中所需加盖公章部分均采用CA签章。</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119"/>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spacing w:line="360" w:lineRule="auto"/>
              <w:ind w:firstLine="482"/>
              <w:rPr>
                <w:b/>
                <w:sz w:val="24"/>
              </w:rPr>
            </w:pPr>
            <w:r>
              <w:rPr>
                <w:rFonts w:hint="eastAsia"/>
                <w:b/>
                <w:sz w:val="24"/>
              </w:rPr>
              <w:t>资格响应文件目录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sz w:val="24"/>
              </w:rPr>
            </w:pPr>
            <w:r>
              <w:rPr>
                <w:rFonts w:hint="eastAsia"/>
                <w:sz w:val="24"/>
              </w:rPr>
              <w:t>序号</w:t>
            </w:r>
          </w:p>
        </w:tc>
        <w:tc>
          <w:tcPr>
            <w:tcW w:w="3119" w:type="dxa"/>
          </w:tcPr>
          <w:p>
            <w:pPr>
              <w:spacing w:line="360" w:lineRule="auto"/>
              <w:jc w:val="center"/>
              <w:rPr>
                <w:sz w:val="24"/>
              </w:rPr>
            </w:pPr>
            <w:r>
              <w:rPr>
                <w:rFonts w:hint="eastAsia"/>
                <w:sz w:val="24"/>
              </w:rPr>
              <w:t>内容</w:t>
            </w:r>
          </w:p>
        </w:tc>
        <w:tc>
          <w:tcPr>
            <w:tcW w:w="4586" w:type="dxa"/>
          </w:tcPr>
          <w:p>
            <w:pPr>
              <w:spacing w:line="360" w:lineRule="auto"/>
              <w:jc w:val="center"/>
              <w:rPr>
                <w:sz w:val="24"/>
              </w:rPr>
            </w:pPr>
            <w:r>
              <w:rPr>
                <w:rFonts w:hint="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sz w:val="24"/>
              </w:rPr>
            </w:pPr>
            <w:r>
              <w:rPr>
                <w:rFonts w:hint="eastAsia"/>
                <w:sz w:val="24"/>
              </w:rPr>
              <w:t>1</w:t>
            </w:r>
          </w:p>
        </w:tc>
        <w:tc>
          <w:tcPr>
            <w:tcW w:w="3119" w:type="dxa"/>
          </w:tcPr>
          <w:p>
            <w:pPr>
              <w:spacing w:line="360" w:lineRule="auto"/>
              <w:rPr>
                <w:sz w:val="24"/>
              </w:rPr>
            </w:pPr>
            <w:r>
              <w:rPr>
                <w:rFonts w:hint="eastAsia"/>
                <w:sz w:val="24"/>
              </w:rPr>
              <w:t>响应声明书</w:t>
            </w:r>
          </w:p>
        </w:tc>
        <w:tc>
          <w:tcPr>
            <w:tcW w:w="4586" w:type="dxa"/>
          </w:tcPr>
          <w:p>
            <w:pPr>
              <w:spacing w:line="360" w:lineRule="auto"/>
              <w:rPr>
                <w:sz w:val="24"/>
              </w:rPr>
            </w:pPr>
            <w:r>
              <w:rPr>
                <w:rFonts w:hint="eastAsia"/>
                <w:sz w:val="24"/>
              </w:rPr>
              <w:t>格式见《第六章 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sz w:val="24"/>
              </w:rPr>
            </w:pPr>
            <w:r>
              <w:rPr>
                <w:rFonts w:hint="eastAsia"/>
                <w:sz w:val="24"/>
              </w:rPr>
              <w:t>2</w:t>
            </w:r>
          </w:p>
        </w:tc>
        <w:tc>
          <w:tcPr>
            <w:tcW w:w="3119" w:type="dxa"/>
          </w:tcPr>
          <w:p>
            <w:pPr>
              <w:spacing w:line="360" w:lineRule="auto"/>
              <w:rPr>
                <w:sz w:val="24"/>
              </w:rPr>
            </w:pPr>
            <w:r>
              <w:rPr>
                <w:rFonts w:hint="eastAsia"/>
                <w:sz w:val="24"/>
              </w:rPr>
              <w:t>法定代表人授权委托书</w:t>
            </w:r>
          </w:p>
        </w:tc>
        <w:tc>
          <w:tcPr>
            <w:tcW w:w="4586" w:type="dxa"/>
          </w:tcPr>
          <w:p>
            <w:pPr>
              <w:spacing w:line="360" w:lineRule="auto"/>
              <w:rPr>
                <w:sz w:val="24"/>
              </w:rPr>
            </w:pPr>
            <w:r>
              <w:rPr>
                <w:rFonts w:hint="eastAsia"/>
                <w:sz w:val="24"/>
              </w:rPr>
              <w:t>格式见《第六章 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sz w:val="24"/>
              </w:rPr>
            </w:pPr>
            <w:r>
              <w:rPr>
                <w:rFonts w:hint="eastAsia"/>
                <w:sz w:val="24"/>
              </w:rPr>
              <w:t>3</w:t>
            </w:r>
          </w:p>
        </w:tc>
        <w:tc>
          <w:tcPr>
            <w:tcW w:w="3119" w:type="dxa"/>
          </w:tcPr>
          <w:p>
            <w:pPr>
              <w:spacing w:line="360" w:lineRule="auto"/>
              <w:rPr>
                <w:sz w:val="24"/>
              </w:rPr>
            </w:pPr>
            <w:r>
              <w:rPr>
                <w:rFonts w:hint="eastAsia"/>
                <w:sz w:val="24"/>
              </w:rPr>
              <w:t>有效的营业执照</w:t>
            </w:r>
          </w:p>
        </w:tc>
        <w:tc>
          <w:tcPr>
            <w:tcW w:w="4586" w:type="dxa"/>
          </w:tcPr>
          <w:p>
            <w:pPr>
              <w:spacing w:line="360" w:lineRule="auto"/>
              <w:rPr>
                <w:sz w:val="24"/>
              </w:rPr>
            </w:pPr>
            <w:r>
              <w:rPr>
                <w:rFonts w:hint="eastAsia"/>
                <w:sz w:val="24"/>
              </w:rPr>
              <w:t>营业执照正本或副本扫描件并加盖响应供应商单位公章；事业单位的，则提供有效的《事业单位法人证书》正本或副本扫描件并加盖公章；自然人的，则提供有效的身份证扫描件并签字。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sz w:val="24"/>
              </w:rPr>
            </w:pPr>
            <w:r>
              <w:rPr>
                <w:rFonts w:hint="eastAsia"/>
                <w:sz w:val="24"/>
              </w:rPr>
              <w:t>4</w:t>
            </w:r>
          </w:p>
        </w:tc>
        <w:tc>
          <w:tcPr>
            <w:tcW w:w="3119" w:type="dxa"/>
          </w:tcPr>
          <w:p>
            <w:pPr>
              <w:spacing w:line="360" w:lineRule="auto"/>
              <w:rPr>
                <w:sz w:val="24"/>
              </w:rPr>
            </w:pPr>
            <w:r>
              <w:rPr>
                <w:rFonts w:hint="eastAsia"/>
                <w:sz w:val="24"/>
              </w:rPr>
              <w:t>特定资格条件</w:t>
            </w:r>
          </w:p>
        </w:tc>
        <w:tc>
          <w:tcPr>
            <w:tcW w:w="4586" w:type="dxa"/>
          </w:tcPr>
          <w:p>
            <w:pPr>
              <w:spacing w:line="360" w:lineRule="auto"/>
              <w:rPr>
                <w:sz w:val="24"/>
              </w:rPr>
            </w:pPr>
            <w:r>
              <w:rPr>
                <w:rFonts w:hint="eastAsia"/>
                <w:sz w:val="24"/>
              </w:rPr>
              <w:t>根据项目要求提供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sz w:val="24"/>
              </w:rPr>
            </w:pPr>
            <w:r>
              <w:rPr>
                <w:rFonts w:hint="eastAsia"/>
                <w:sz w:val="24"/>
              </w:rPr>
              <w:t>5</w:t>
            </w:r>
          </w:p>
        </w:tc>
        <w:tc>
          <w:tcPr>
            <w:tcW w:w="3119" w:type="dxa"/>
          </w:tcPr>
          <w:p>
            <w:pPr>
              <w:spacing w:line="360" w:lineRule="auto"/>
              <w:rPr>
                <w:sz w:val="24"/>
              </w:rPr>
            </w:pPr>
            <w:r>
              <w:rPr>
                <w:rFonts w:hint="eastAsia"/>
                <w:sz w:val="24"/>
              </w:rPr>
              <w:t>响应方认为有必要提供的其他文件</w:t>
            </w:r>
          </w:p>
        </w:tc>
        <w:tc>
          <w:tcPr>
            <w:tcW w:w="4586" w:type="dxa"/>
          </w:tcPr>
          <w:p>
            <w:pPr>
              <w:spacing w:line="360" w:lineRule="auto"/>
              <w:rPr>
                <w:sz w:val="24"/>
              </w:rPr>
            </w:pPr>
            <w:r>
              <w:rPr>
                <w:rFonts w:hint="eastAsia"/>
                <w:sz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spacing w:line="360" w:lineRule="auto"/>
              <w:ind w:firstLine="482"/>
              <w:rPr>
                <w:b/>
                <w:sz w:val="24"/>
              </w:rPr>
            </w:pPr>
            <w:r>
              <w:rPr>
                <w:rFonts w:hint="eastAsia"/>
                <w:b/>
                <w:sz w:val="24"/>
              </w:rPr>
              <w:t>技术商务文件目录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sz w:val="24"/>
              </w:rPr>
            </w:pPr>
            <w:r>
              <w:rPr>
                <w:rFonts w:hint="eastAsia"/>
                <w:sz w:val="24"/>
              </w:rPr>
              <w:t>序号</w:t>
            </w:r>
          </w:p>
        </w:tc>
        <w:tc>
          <w:tcPr>
            <w:tcW w:w="3119" w:type="dxa"/>
          </w:tcPr>
          <w:p>
            <w:pPr>
              <w:spacing w:line="360" w:lineRule="auto"/>
              <w:jc w:val="center"/>
              <w:rPr>
                <w:sz w:val="24"/>
              </w:rPr>
            </w:pPr>
            <w:r>
              <w:rPr>
                <w:rFonts w:hint="eastAsia"/>
                <w:sz w:val="24"/>
              </w:rPr>
              <w:t>内容</w:t>
            </w:r>
          </w:p>
        </w:tc>
        <w:tc>
          <w:tcPr>
            <w:tcW w:w="4586" w:type="dxa"/>
          </w:tcPr>
          <w:p>
            <w:pPr>
              <w:spacing w:line="360" w:lineRule="auto"/>
              <w:jc w:val="center"/>
              <w:rPr>
                <w:sz w:val="24"/>
              </w:rPr>
            </w:pPr>
            <w:r>
              <w:rPr>
                <w:rFonts w:hint="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sz w:val="24"/>
              </w:rPr>
            </w:pPr>
            <w:r>
              <w:rPr>
                <w:rFonts w:hint="eastAsia"/>
                <w:sz w:val="24"/>
              </w:rPr>
              <w:t>1</w:t>
            </w:r>
          </w:p>
        </w:tc>
        <w:tc>
          <w:tcPr>
            <w:tcW w:w="3119" w:type="dxa"/>
          </w:tcPr>
          <w:p>
            <w:pPr>
              <w:spacing w:line="360" w:lineRule="auto"/>
              <w:rPr>
                <w:sz w:val="24"/>
              </w:rPr>
            </w:pPr>
            <w:r>
              <w:rPr>
                <w:rFonts w:hint="eastAsia"/>
                <w:sz w:val="24"/>
              </w:rPr>
              <w:t>承诺书</w:t>
            </w:r>
          </w:p>
        </w:tc>
        <w:tc>
          <w:tcPr>
            <w:tcW w:w="4586" w:type="dxa"/>
          </w:tcPr>
          <w:p>
            <w:pPr>
              <w:spacing w:line="360" w:lineRule="auto"/>
              <w:rPr>
                <w:sz w:val="24"/>
              </w:rPr>
            </w:pPr>
            <w:r>
              <w:rPr>
                <w:rFonts w:hint="eastAsia"/>
                <w:sz w:val="24"/>
              </w:rPr>
              <w:t>格式见《第六章 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sz w:val="24"/>
              </w:rPr>
            </w:pPr>
            <w:r>
              <w:rPr>
                <w:rFonts w:hint="eastAsia"/>
                <w:sz w:val="24"/>
              </w:rPr>
              <w:t>2</w:t>
            </w:r>
          </w:p>
        </w:tc>
        <w:tc>
          <w:tcPr>
            <w:tcW w:w="3119" w:type="dxa"/>
          </w:tcPr>
          <w:p>
            <w:pPr>
              <w:spacing w:line="360" w:lineRule="auto"/>
              <w:rPr>
                <w:sz w:val="24"/>
              </w:rPr>
            </w:pPr>
            <w:r>
              <w:rPr>
                <w:rFonts w:hint="eastAsia"/>
                <w:sz w:val="24"/>
              </w:rPr>
              <w:t>管理制度</w:t>
            </w:r>
          </w:p>
        </w:tc>
        <w:tc>
          <w:tcPr>
            <w:tcW w:w="4586" w:type="dxa"/>
          </w:tcPr>
          <w:p>
            <w:pPr>
              <w:spacing w:line="360" w:lineRule="auto"/>
              <w:rPr>
                <w:sz w:val="24"/>
              </w:rPr>
            </w:pPr>
            <w:r>
              <w:rPr>
                <w:rFonts w:hint="eastAsia"/>
                <w:sz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sz w:val="24"/>
              </w:rPr>
            </w:pPr>
            <w:r>
              <w:rPr>
                <w:rFonts w:hint="eastAsia"/>
                <w:sz w:val="24"/>
              </w:rPr>
              <w:t>3</w:t>
            </w:r>
          </w:p>
        </w:tc>
        <w:tc>
          <w:tcPr>
            <w:tcW w:w="3119" w:type="dxa"/>
          </w:tcPr>
          <w:p>
            <w:pPr>
              <w:spacing w:line="360" w:lineRule="auto"/>
              <w:rPr>
                <w:sz w:val="24"/>
              </w:rPr>
            </w:pPr>
            <w:r>
              <w:rPr>
                <w:rFonts w:hint="eastAsia"/>
                <w:sz w:val="24"/>
              </w:rPr>
              <w:t>服务方案</w:t>
            </w:r>
          </w:p>
        </w:tc>
        <w:tc>
          <w:tcPr>
            <w:tcW w:w="4586" w:type="dxa"/>
          </w:tcPr>
          <w:p>
            <w:pPr>
              <w:spacing w:line="360" w:lineRule="auto"/>
              <w:rPr>
                <w:sz w:val="24"/>
              </w:rPr>
            </w:pPr>
            <w:r>
              <w:rPr>
                <w:rFonts w:hint="eastAsia"/>
                <w:sz w:val="24"/>
              </w:rPr>
              <w:t>根据项目需求自行编制，包括但不限于对重大专项政策的理解和掌握，结合项目的特点提出审核服务的定位、目标及标准等，详细说明如何保证服务质量，有效保证项目进度的措施以及实施过程中突发事件处理机制与预案、本地化服务等，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sz w:val="24"/>
              </w:rPr>
            </w:pPr>
            <w:r>
              <w:rPr>
                <w:rFonts w:hint="eastAsia"/>
                <w:sz w:val="24"/>
              </w:rPr>
              <w:t>4</w:t>
            </w:r>
          </w:p>
        </w:tc>
        <w:tc>
          <w:tcPr>
            <w:tcW w:w="3119" w:type="dxa"/>
          </w:tcPr>
          <w:p>
            <w:pPr>
              <w:spacing w:line="360" w:lineRule="auto"/>
              <w:rPr>
                <w:sz w:val="24"/>
              </w:rPr>
            </w:pPr>
            <w:r>
              <w:rPr>
                <w:rFonts w:hint="eastAsia"/>
                <w:sz w:val="24"/>
              </w:rPr>
              <w:t>项目组人员清单</w:t>
            </w:r>
          </w:p>
        </w:tc>
        <w:tc>
          <w:tcPr>
            <w:tcW w:w="4586" w:type="dxa"/>
          </w:tcPr>
          <w:p>
            <w:pPr>
              <w:spacing w:line="360" w:lineRule="auto"/>
              <w:rPr>
                <w:sz w:val="24"/>
              </w:rPr>
            </w:pPr>
            <w:r>
              <w:rPr>
                <w:rFonts w:hint="eastAsia"/>
                <w:sz w:val="24"/>
              </w:rPr>
              <w:t>格式见《第六章 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sz w:val="24"/>
              </w:rPr>
            </w:pPr>
            <w:r>
              <w:rPr>
                <w:rFonts w:hint="eastAsia"/>
                <w:sz w:val="24"/>
              </w:rPr>
              <w:t>5</w:t>
            </w:r>
          </w:p>
        </w:tc>
        <w:tc>
          <w:tcPr>
            <w:tcW w:w="3119" w:type="dxa"/>
          </w:tcPr>
          <w:p>
            <w:pPr>
              <w:spacing w:line="360" w:lineRule="auto"/>
              <w:rPr>
                <w:sz w:val="24"/>
              </w:rPr>
            </w:pPr>
            <w:r>
              <w:rPr>
                <w:rFonts w:hint="eastAsia"/>
                <w:sz w:val="24"/>
              </w:rPr>
              <w:t>响应方履约能力</w:t>
            </w:r>
          </w:p>
        </w:tc>
        <w:tc>
          <w:tcPr>
            <w:tcW w:w="4586" w:type="dxa"/>
          </w:tcPr>
          <w:p>
            <w:pPr>
              <w:spacing w:line="360" w:lineRule="auto"/>
              <w:rPr>
                <w:sz w:val="24"/>
              </w:rPr>
            </w:pPr>
            <w:r>
              <w:rPr>
                <w:rFonts w:hint="eastAsia"/>
                <w:sz w:val="24"/>
              </w:rPr>
              <w:t>可包含且不限于技术力量情况、响应方各项能力证书、人员执业证书等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sz w:val="24"/>
              </w:rPr>
            </w:pPr>
            <w:r>
              <w:rPr>
                <w:rFonts w:hint="eastAsia"/>
                <w:sz w:val="24"/>
              </w:rPr>
              <w:t>6</w:t>
            </w:r>
          </w:p>
        </w:tc>
        <w:tc>
          <w:tcPr>
            <w:tcW w:w="3119" w:type="dxa"/>
          </w:tcPr>
          <w:p>
            <w:pPr>
              <w:spacing w:line="360" w:lineRule="auto"/>
              <w:rPr>
                <w:sz w:val="24"/>
              </w:rPr>
            </w:pPr>
            <w:r>
              <w:rPr>
                <w:rFonts w:hint="eastAsia"/>
                <w:sz w:val="24"/>
              </w:rPr>
              <w:t>业绩情况一览表</w:t>
            </w:r>
          </w:p>
        </w:tc>
        <w:tc>
          <w:tcPr>
            <w:tcW w:w="4586" w:type="dxa"/>
          </w:tcPr>
          <w:p>
            <w:pPr>
              <w:spacing w:line="360" w:lineRule="auto"/>
              <w:rPr>
                <w:rFonts w:ascii="宋体" w:hAnsi="宋体" w:eastAsia="宋体" w:cs="宋体"/>
                <w:sz w:val="20"/>
                <w:szCs w:val="20"/>
              </w:rPr>
            </w:pPr>
            <w:r>
              <w:rPr>
                <w:rFonts w:hint="eastAsia"/>
                <w:sz w:val="24"/>
              </w:rPr>
              <w:t>格式见《第六章 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sz w:val="24"/>
              </w:rPr>
            </w:pPr>
            <w:r>
              <w:rPr>
                <w:rFonts w:hint="eastAsia"/>
                <w:sz w:val="24"/>
              </w:rPr>
              <w:t>7</w:t>
            </w:r>
          </w:p>
        </w:tc>
        <w:tc>
          <w:tcPr>
            <w:tcW w:w="3119" w:type="dxa"/>
          </w:tcPr>
          <w:p>
            <w:pPr>
              <w:spacing w:line="360" w:lineRule="auto"/>
              <w:rPr>
                <w:sz w:val="24"/>
              </w:rPr>
            </w:pPr>
            <w:r>
              <w:rPr>
                <w:rFonts w:hint="eastAsia"/>
                <w:sz w:val="24"/>
              </w:rPr>
              <w:t>响应方认为需要的其他文件资料</w:t>
            </w:r>
          </w:p>
        </w:tc>
        <w:tc>
          <w:tcPr>
            <w:tcW w:w="4586" w:type="dxa"/>
          </w:tcPr>
          <w:p>
            <w:pPr>
              <w:spacing w:line="360" w:lineRule="auto"/>
              <w:rPr>
                <w:sz w:val="24"/>
              </w:rPr>
            </w:pPr>
            <w:r>
              <w:rPr>
                <w:rFonts w:hint="eastAsia"/>
                <w:sz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spacing w:line="360" w:lineRule="auto"/>
              <w:ind w:firstLine="482"/>
              <w:rPr>
                <w:b/>
                <w:sz w:val="24"/>
              </w:rPr>
            </w:pPr>
            <w:r>
              <w:rPr>
                <w:rFonts w:hint="eastAsia"/>
                <w:b/>
                <w:sz w:val="24"/>
              </w:rPr>
              <w:t>报价文件目录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sz w:val="24"/>
              </w:rPr>
            </w:pPr>
            <w:r>
              <w:rPr>
                <w:rFonts w:hint="eastAsia"/>
                <w:sz w:val="24"/>
              </w:rPr>
              <w:t>序号</w:t>
            </w:r>
          </w:p>
        </w:tc>
        <w:tc>
          <w:tcPr>
            <w:tcW w:w="3119" w:type="dxa"/>
          </w:tcPr>
          <w:p>
            <w:pPr>
              <w:spacing w:line="360" w:lineRule="auto"/>
              <w:jc w:val="center"/>
              <w:rPr>
                <w:sz w:val="24"/>
              </w:rPr>
            </w:pPr>
            <w:r>
              <w:rPr>
                <w:rFonts w:hint="eastAsia"/>
                <w:sz w:val="24"/>
              </w:rPr>
              <w:t>内容</w:t>
            </w:r>
          </w:p>
        </w:tc>
        <w:tc>
          <w:tcPr>
            <w:tcW w:w="4586" w:type="dxa"/>
          </w:tcPr>
          <w:p>
            <w:pPr>
              <w:spacing w:line="360" w:lineRule="auto"/>
              <w:jc w:val="center"/>
              <w:rPr>
                <w:sz w:val="24"/>
              </w:rPr>
            </w:pPr>
            <w:r>
              <w:rPr>
                <w:rFonts w:hint="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sz w:val="24"/>
              </w:rPr>
            </w:pPr>
            <w:r>
              <w:rPr>
                <w:rFonts w:hint="eastAsia"/>
                <w:sz w:val="24"/>
              </w:rPr>
              <w:t>1</w:t>
            </w:r>
          </w:p>
        </w:tc>
        <w:tc>
          <w:tcPr>
            <w:tcW w:w="3119" w:type="dxa"/>
          </w:tcPr>
          <w:p>
            <w:pPr>
              <w:spacing w:line="360" w:lineRule="auto"/>
              <w:rPr>
                <w:sz w:val="24"/>
              </w:rPr>
            </w:pPr>
            <w:r>
              <w:rPr>
                <w:rFonts w:hint="eastAsia"/>
                <w:sz w:val="24"/>
              </w:rPr>
              <w:t>报价一览表</w:t>
            </w:r>
          </w:p>
        </w:tc>
        <w:tc>
          <w:tcPr>
            <w:tcW w:w="4586" w:type="dxa"/>
          </w:tcPr>
          <w:p>
            <w:pPr>
              <w:spacing w:line="360" w:lineRule="auto"/>
              <w:rPr>
                <w:sz w:val="24"/>
              </w:rPr>
            </w:pPr>
            <w:r>
              <w:rPr>
                <w:rFonts w:hint="eastAsia"/>
                <w:sz w:val="24"/>
              </w:rPr>
              <w:t>格式见《第六章 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sz w:val="24"/>
              </w:rPr>
            </w:pPr>
            <w:r>
              <w:rPr>
                <w:rFonts w:hint="eastAsia"/>
                <w:sz w:val="24"/>
              </w:rPr>
              <w:t>2</w:t>
            </w:r>
          </w:p>
        </w:tc>
        <w:tc>
          <w:tcPr>
            <w:tcW w:w="3119" w:type="dxa"/>
          </w:tcPr>
          <w:p>
            <w:pPr>
              <w:spacing w:line="360" w:lineRule="auto"/>
              <w:rPr>
                <w:sz w:val="24"/>
              </w:rPr>
            </w:pPr>
            <w:r>
              <w:rPr>
                <w:rFonts w:hint="eastAsia"/>
                <w:sz w:val="24"/>
              </w:rPr>
              <w:t>针对报价的说明</w:t>
            </w:r>
          </w:p>
        </w:tc>
        <w:tc>
          <w:tcPr>
            <w:tcW w:w="4586" w:type="dxa"/>
          </w:tcPr>
          <w:p>
            <w:pPr>
              <w:spacing w:line="360" w:lineRule="auto"/>
              <w:rPr>
                <w:sz w:val="24"/>
              </w:rPr>
            </w:pPr>
            <w:r>
              <w:rPr>
                <w:rFonts w:hint="eastAsia"/>
                <w:sz w:val="24"/>
              </w:rPr>
              <w:t>▲供应商响应折扣率低于30%的，应当在报价响应文件中详细阐述不影响诚信履约的具体原因。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sz w:val="24"/>
              </w:rPr>
            </w:pPr>
            <w:r>
              <w:rPr>
                <w:rFonts w:hint="eastAsia"/>
                <w:sz w:val="24"/>
              </w:rPr>
              <w:t>3</w:t>
            </w:r>
          </w:p>
        </w:tc>
        <w:tc>
          <w:tcPr>
            <w:tcW w:w="3119" w:type="dxa"/>
          </w:tcPr>
          <w:p>
            <w:pPr>
              <w:spacing w:line="360" w:lineRule="auto"/>
              <w:rPr>
                <w:sz w:val="24"/>
              </w:rPr>
            </w:pPr>
            <w:r>
              <w:rPr>
                <w:rFonts w:hint="eastAsia"/>
                <w:sz w:val="24"/>
              </w:rPr>
              <w:t>中小企业声明函</w:t>
            </w:r>
          </w:p>
        </w:tc>
        <w:tc>
          <w:tcPr>
            <w:tcW w:w="4586" w:type="dxa"/>
          </w:tcPr>
          <w:p>
            <w:pPr>
              <w:spacing w:line="360" w:lineRule="auto"/>
              <w:rPr>
                <w:sz w:val="24"/>
              </w:rPr>
            </w:pPr>
            <w:r>
              <w:rPr>
                <w:rFonts w:hint="eastAsia"/>
                <w:sz w:val="24"/>
              </w:rPr>
              <w:t>格式见《第六章 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spacing w:line="360" w:lineRule="auto"/>
              <w:rPr>
                <w:sz w:val="24"/>
              </w:rPr>
            </w:pPr>
            <w:r>
              <w:rPr>
                <w:rFonts w:hint="eastAsia"/>
                <w:sz w:val="24"/>
              </w:rPr>
              <w:t>注：1.征集文件中标“▲”的实质性条款内容，须提供相应资料或承诺函等，附件中如有格式，按征集文件格式，若未提供则格式自拟。</w:t>
            </w:r>
          </w:p>
          <w:p>
            <w:pPr>
              <w:spacing w:line="360" w:lineRule="auto"/>
              <w:ind w:firstLine="566" w:firstLineChars="236"/>
              <w:rPr>
                <w:sz w:val="24"/>
              </w:rPr>
            </w:pPr>
            <w:r>
              <w:rPr>
                <w:rFonts w:hint="eastAsia"/>
                <w:sz w:val="24"/>
              </w:rPr>
              <w:t>2.政采云系统参数填写要求：</w:t>
            </w:r>
          </w:p>
          <w:p>
            <w:pPr>
              <w:spacing w:line="360" w:lineRule="auto"/>
              <w:ind w:firstLine="566" w:firstLineChars="236"/>
              <w:rPr>
                <w:sz w:val="24"/>
              </w:rPr>
            </w:pPr>
            <w:r>
              <w:rPr>
                <w:rFonts w:hint="eastAsia"/>
                <w:sz w:val="24"/>
              </w:rPr>
              <w:t>⑴一个标项对应一个商品；</w:t>
            </w:r>
          </w:p>
          <w:p>
            <w:pPr>
              <w:spacing w:line="360" w:lineRule="auto"/>
              <w:ind w:firstLine="566" w:firstLineChars="236"/>
              <w:rPr>
                <w:sz w:val="24"/>
              </w:rPr>
            </w:pPr>
            <w:r>
              <w:rPr>
                <w:rFonts w:hint="eastAsia"/>
                <w:sz w:val="24"/>
              </w:rPr>
              <w:t>⑵商品标题的格式：供应商名称+2024-2026年度浦江县政府投资项目审核服务；</w:t>
            </w:r>
          </w:p>
          <w:p>
            <w:pPr>
              <w:spacing w:line="360" w:lineRule="auto"/>
              <w:ind w:firstLine="566" w:firstLineChars="236"/>
              <w:rPr>
                <w:sz w:val="24"/>
              </w:rPr>
            </w:pPr>
            <w:r>
              <w:rPr>
                <w:rFonts w:hint="eastAsia"/>
                <w:sz w:val="24"/>
              </w:rPr>
              <w:t>⑶商品主图：显示供应商名称或者标志标识（logo）的图片1张；</w:t>
            </w:r>
          </w:p>
          <w:p>
            <w:pPr>
              <w:spacing w:line="360" w:lineRule="auto"/>
              <w:ind w:firstLine="566" w:firstLineChars="236"/>
              <w:rPr>
                <w:sz w:val="24"/>
              </w:rPr>
            </w:pPr>
            <w:r>
              <w:rPr>
                <w:rFonts w:hint="eastAsia"/>
                <w:sz w:val="24"/>
              </w:rPr>
              <w:t>⑷其他按政采云系统提示要求填写。</w:t>
            </w:r>
          </w:p>
          <w:p>
            <w:pPr>
              <w:spacing w:line="360" w:lineRule="auto"/>
              <w:ind w:firstLine="566" w:firstLineChars="236"/>
              <w:rPr>
                <w:sz w:val="24"/>
              </w:rPr>
            </w:pPr>
            <w:r>
              <w:rPr>
                <w:rFonts w:hint="eastAsia"/>
                <w:sz w:val="24"/>
              </w:rPr>
              <w:t>▲3.供应商在总价中应充分考虑作业期间成本投入的市场风险、政策性调整及服务期间的不可预见因素，今后不再做调整。供应商在报价中应充分考虑所有可能发生的费用。</w:t>
            </w:r>
          </w:p>
          <w:p>
            <w:pPr>
              <w:spacing w:line="360" w:lineRule="auto"/>
              <w:ind w:firstLine="566" w:firstLineChars="236"/>
              <w:rPr>
                <w:sz w:val="24"/>
              </w:rPr>
            </w:pPr>
            <w:r>
              <w:rPr>
                <w:rFonts w:hint="eastAsia"/>
                <w:sz w:val="24"/>
              </w:rPr>
              <w:t>▲4.响应方对在合同执行中，除上述费用及征集文件规定的由成交人负责的工作范围以外需要采购人协调或提供便利的工作应当在响应文件中说明。</w:t>
            </w:r>
          </w:p>
          <w:p>
            <w:pPr>
              <w:spacing w:line="360" w:lineRule="auto"/>
              <w:ind w:firstLine="566" w:firstLineChars="236"/>
              <w:rPr>
                <w:sz w:val="24"/>
              </w:rPr>
            </w:pPr>
            <w:r>
              <w:rPr>
                <w:rFonts w:hint="eastAsia"/>
                <w:sz w:val="24"/>
              </w:rPr>
              <w:t>▲5. 关于本项目价格的信息只允许出现在“报价文件”中，不得出现在资格响应文件及技术商务文件中。</w:t>
            </w:r>
          </w:p>
        </w:tc>
      </w:tr>
    </w:tbl>
    <w:p>
      <w:pPr>
        <w:pStyle w:val="4"/>
        <w:spacing w:before="0" w:after="0"/>
        <w:ind w:firstLine="424" w:firstLineChars="176"/>
        <w:rPr>
          <w:sz w:val="24"/>
        </w:rPr>
      </w:pPr>
      <w:r>
        <w:rPr>
          <w:rFonts w:hint="eastAsia"/>
          <w:sz w:val="24"/>
        </w:rPr>
        <w:t>（四）响应文件的语言及计量</w:t>
      </w:r>
    </w:p>
    <w:p>
      <w:pPr>
        <w:adjustRightInd w:val="0"/>
        <w:snapToGrid w:val="0"/>
        <w:spacing w:line="440" w:lineRule="exact"/>
        <w:ind w:firstLine="480" w:firstLineChars="200"/>
        <w:rPr>
          <w:sz w:val="24"/>
        </w:rPr>
      </w:pPr>
      <w:r>
        <w:rPr>
          <w:rFonts w:hint="eastAsia"/>
          <w:sz w:val="24"/>
        </w:rPr>
        <w:t>1.响应文件以及响应方与征集人就有关征集、响应事宜的所有来往函电，均应以中文简体字书写。除签名、盖章、专用名称等特殊情形外，响应文件中以中文汉语以外的文字表述部分视同未提供。</w:t>
      </w:r>
    </w:p>
    <w:p>
      <w:pPr>
        <w:adjustRightInd w:val="0"/>
        <w:snapToGrid w:val="0"/>
        <w:spacing w:line="440" w:lineRule="exact"/>
        <w:ind w:firstLine="480" w:firstLineChars="200"/>
        <w:rPr>
          <w:sz w:val="24"/>
        </w:rPr>
      </w:pPr>
      <w:r>
        <w:rPr>
          <w:rFonts w:hint="eastAsia"/>
          <w:sz w:val="24"/>
        </w:rPr>
        <w:t>2.响应计量单位，征集文件已有明确规定的，使用征集文件规定的计量单位；征集文件没有规定的，应采用中华人民共和国法定计量单位（货币单位：人民币元），否则将作无效处理。</w:t>
      </w:r>
    </w:p>
    <w:p>
      <w:pPr>
        <w:pStyle w:val="4"/>
        <w:spacing w:before="0" w:after="0"/>
        <w:ind w:firstLine="424" w:firstLineChars="176"/>
        <w:rPr>
          <w:sz w:val="24"/>
        </w:rPr>
      </w:pPr>
      <w:r>
        <w:rPr>
          <w:rFonts w:hint="eastAsia"/>
          <w:sz w:val="24"/>
        </w:rPr>
        <w:t>（五）响应文件的有效期</w:t>
      </w:r>
    </w:p>
    <w:p>
      <w:pPr>
        <w:adjustRightInd w:val="0"/>
        <w:snapToGrid w:val="0"/>
        <w:spacing w:line="440" w:lineRule="exact"/>
        <w:ind w:firstLine="480" w:firstLineChars="200"/>
        <w:rPr>
          <w:sz w:val="24"/>
        </w:rPr>
      </w:pPr>
      <w:r>
        <w:rPr>
          <w:rFonts w:hint="eastAsia"/>
          <w:sz w:val="24"/>
        </w:rPr>
        <w:t>1.自提交响应文件的截止之日起90天内响应文件应保持有效。有效期不足的响应文件将作无效处理。</w:t>
      </w:r>
    </w:p>
    <w:p>
      <w:pPr>
        <w:adjustRightInd w:val="0"/>
        <w:snapToGrid w:val="0"/>
        <w:spacing w:line="440" w:lineRule="exact"/>
        <w:ind w:firstLine="480" w:firstLineChars="200"/>
        <w:rPr>
          <w:sz w:val="24"/>
        </w:rPr>
      </w:pPr>
      <w:r>
        <w:rPr>
          <w:rFonts w:hint="eastAsia"/>
          <w:sz w:val="24"/>
        </w:rPr>
        <w:t>2.入围供应商的响应文件自开启之日起至合同（第一阶段、第二阶段）履行完毕止均应保持有效。</w:t>
      </w:r>
    </w:p>
    <w:p>
      <w:pPr>
        <w:pStyle w:val="4"/>
        <w:spacing w:before="0" w:after="0"/>
        <w:ind w:firstLine="424" w:firstLineChars="176"/>
        <w:rPr>
          <w:sz w:val="24"/>
        </w:rPr>
      </w:pPr>
      <w:r>
        <w:rPr>
          <w:rFonts w:hint="eastAsia"/>
          <w:sz w:val="24"/>
        </w:rPr>
        <w:t>（六）响应文件的签署和包装</w:t>
      </w:r>
    </w:p>
    <w:p>
      <w:pPr>
        <w:spacing w:line="360" w:lineRule="auto"/>
        <w:ind w:firstLine="480" w:firstLineChars="200"/>
        <w:rPr>
          <w:sz w:val="24"/>
        </w:rPr>
      </w:pPr>
      <w:r>
        <w:rPr>
          <w:rFonts w:hint="eastAsia"/>
          <w:sz w:val="24"/>
        </w:rPr>
        <w:t xml:space="preserve">1.电子响应文件部分： </w:t>
      </w:r>
    </w:p>
    <w:p>
      <w:pPr>
        <w:spacing w:line="360" w:lineRule="auto"/>
        <w:ind w:firstLine="480" w:firstLineChars="200"/>
        <w:rPr>
          <w:sz w:val="24"/>
        </w:rPr>
      </w:pPr>
      <w:r>
        <w:rPr>
          <w:rFonts w:hint="eastAsia"/>
          <w:sz w:val="24"/>
        </w:rPr>
        <w:t>（1）响应方应根据本征集文件和电子交易平台规定的格式和顺序编制电子响应文件并进行关联定位，响应文件内容不完整、编排混乱、关联错误导致响应文件被误读、漏读或者查找不到相关内容的，是响应方的责任。</w:t>
      </w:r>
    </w:p>
    <w:p>
      <w:pPr>
        <w:spacing w:line="360" w:lineRule="auto"/>
        <w:ind w:firstLine="480" w:firstLineChars="200"/>
        <w:rPr>
          <w:sz w:val="24"/>
        </w:rPr>
      </w:pPr>
      <w:r>
        <w:rPr>
          <w:rFonts w:hint="eastAsia"/>
          <w:sz w:val="24"/>
        </w:rPr>
        <w:t>（2）响应文件须由响应方在规定位置盖章并由法定代表人或法定代表人的授权委托人签署，响应方应写全称。</w:t>
      </w:r>
    </w:p>
    <w:p>
      <w:pPr>
        <w:spacing w:line="360" w:lineRule="auto"/>
        <w:ind w:firstLine="480" w:firstLineChars="200"/>
        <w:rPr>
          <w:sz w:val="24"/>
        </w:rPr>
      </w:pPr>
      <w:r>
        <w:rPr>
          <w:rFonts w:hint="eastAsia"/>
          <w:sz w:val="24"/>
        </w:rPr>
        <w:t>（3）响应文件不得涂改，若有修改错漏处，须加盖响应方公章或者法定代表人或授权委托人签名或盖章。响应文件因字迹潦草或表达不清所引起的后果由响应方负责。</w:t>
      </w:r>
    </w:p>
    <w:p>
      <w:pPr>
        <w:spacing w:line="360" w:lineRule="auto"/>
        <w:ind w:firstLine="480" w:firstLineChars="200"/>
        <w:rPr>
          <w:sz w:val="24"/>
        </w:rPr>
      </w:pPr>
      <w:r>
        <w:rPr>
          <w:rFonts w:hint="eastAsia"/>
          <w:sz w:val="24"/>
        </w:rPr>
        <w:t>2.响应方选择递交备份响应文件的，备份响应文件另须满足以下条件：</w:t>
      </w:r>
    </w:p>
    <w:p>
      <w:pPr>
        <w:spacing w:line="360" w:lineRule="auto"/>
        <w:ind w:firstLine="480" w:firstLineChars="200"/>
        <w:rPr>
          <w:sz w:val="24"/>
        </w:rPr>
      </w:pPr>
      <w:r>
        <w:rPr>
          <w:rFonts w:hint="eastAsia"/>
          <w:sz w:val="24"/>
        </w:rPr>
        <w:t xml:space="preserve">（1）储存形式：U盘、DVD </w:t>
      </w:r>
    </w:p>
    <w:p>
      <w:pPr>
        <w:spacing w:line="360" w:lineRule="auto"/>
        <w:ind w:firstLine="480" w:firstLineChars="200"/>
        <w:rPr>
          <w:sz w:val="24"/>
        </w:rPr>
      </w:pPr>
      <w:r>
        <w:rPr>
          <w:rFonts w:hint="eastAsia"/>
          <w:sz w:val="24"/>
        </w:rPr>
        <w:t>（2）密封要求：外包装封面上应注明响应方名称、响应方地址、响应方联系方式（授权代表手机）、响应文件名称（备份响应文件）、项目名称、项目编号、标项及“开启时启封”字样，并加盖响应方公章。</w:t>
      </w:r>
    </w:p>
    <w:p>
      <w:pPr>
        <w:pStyle w:val="4"/>
        <w:spacing w:before="0" w:after="0"/>
        <w:ind w:firstLine="424" w:firstLineChars="176"/>
        <w:rPr>
          <w:sz w:val="24"/>
        </w:rPr>
      </w:pPr>
      <w:r>
        <w:rPr>
          <w:rFonts w:hint="eastAsia"/>
          <w:sz w:val="24"/>
        </w:rPr>
        <w:t>（七）报价</w:t>
      </w:r>
    </w:p>
    <w:p>
      <w:pPr>
        <w:spacing w:line="360" w:lineRule="auto"/>
        <w:ind w:firstLine="480" w:firstLineChars="200"/>
        <w:rPr>
          <w:sz w:val="24"/>
        </w:rPr>
      </w:pPr>
      <w:r>
        <w:rPr>
          <w:rFonts w:hint="eastAsia"/>
          <w:sz w:val="24"/>
        </w:rPr>
        <w:t>▲1.响应文件只允许有一个报价，报价应按征集文件中相关附表格式填报，该报价应与明细报价汇总相等，且不允许出现报价优惠等字样（明细出现“0”元，视同赠送，按无效处理）。</w:t>
      </w:r>
    </w:p>
    <w:p>
      <w:pPr>
        <w:spacing w:line="360" w:lineRule="auto"/>
        <w:ind w:firstLine="480" w:firstLineChars="200"/>
        <w:rPr>
          <w:sz w:val="24"/>
        </w:rPr>
      </w:pPr>
      <w:r>
        <w:rPr>
          <w:rFonts w:hint="eastAsia"/>
          <w:sz w:val="24"/>
        </w:rPr>
        <w:t>▲2.报价应包含项目所需全部产品、服务，不得缺漏，是履行合同的最终价格（含货款、标准附件、备品备件、专用工具、包装、运输、装卸、保险、货到就位以及安装、调试、培训、保修等一切税金和费用）。</w:t>
      </w:r>
    </w:p>
    <w:p>
      <w:pPr>
        <w:spacing w:line="360" w:lineRule="auto"/>
        <w:ind w:firstLine="480" w:firstLineChars="200"/>
        <w:rPr>
          <w:sz w:val="24"/>
        </w:rPr>
      </w:pPr>
      <w:r>
        <w:rPr>
          <w:rFonts w:hint="eastAsia"/>
          <w:sz w:val="24"/>
        </w:rPr>
        <w:t>3.征集文件没有规定的，报价金额到元为止，如报价总价出现角、分，将被抹除。征集文件已有明确规定的，使用征集文件规定的计量单位进行报价。</w:t>
      </w:r>
    </w:p>
    <w:p>
      <w:pPr>
        <w:pStyle w:val="4"/>
        <w:spacing w:before="0" w:after="0"/>
        <w:ind w:firstLine="424" w:firstLineChars="176"/>
        <w:rPr>
          <w:sz w:val="24"/>
        </w:rPr>
      </w:pPr>
      <w:r>
        <w:rPr>
          <w:rFonts w:hint="eastAsia"/>
          <w:sz w:val="24"/>
        </w:rPr>
        <w:t>（八）串通投标认定</w:t>
      </w:r>
    </w:p>
    <w:p>
      <w:pPr>
        <w:adjustRightInd w:val="0"/>
        <w:snapToGrid w:val="0"/>
        <w:spacing w:line="440" w:lineRule="exact"/>
        <w:ind w:firstLine="480" w:firstLineChars="200"/>
        <w:rPr>
          <w:sz w:val="24"/>
        </w:rPr>
      </w:pPr>
      <w:r>
        <w:rPr>
          <w:rFonts w:hint="eastAsia"/>
          <w:sz w:val="24"/>
        </w:rPr>
        <w:t>有下列情形之一的，视为响应方串通投标，其响应无效：</w:t>
      </w:r>
    </w:p>
    <w:p>
      <w:pPr>
        <w:adjustRightInd w:val="0"/>
        <w:snapToGrid w:val="0"/>
        <w:spacing w:line="440" w:lineRule="exact"/>
        <w:ind w:firstLine="480" w:firstLineChars="200"/>
        <w:rPr>
          <w:sz w:val="24"/>
        </w:rPr>
      </w:pPr>
      <w:r>
        <w:rPr>
          <w:rFonts w:hint="eastAsia"/>
          <w:sz w:val="24"/>
        </w:rPr>
        <w:t>1.不同响应方的响应文件由同一单位或者个人编制；</w:t>
      </w:r>
    </w:p>
    <w:p>
      <w:pPr>
        <w:adjustRightInd w:val="0"/>
        <w:snapToGrid w:val="0"/>
        <w:spacing w:line="440" w:lineRule="exact"/>
        <w:ind w:firstLine="480" w:firstLineChars="200"/>
        <w:rPr>
          <w:sz w:val="24"/>
        </w:rPr>
      </w:pPr>
      <w:r>
        <w:rPr>
          <w:rFonts w:hint="eastAsia"/>
          <w:sz w:val="24"/>
        </w:rPr>
        <w:t>2.不同响应方委托同一单位或者个人办理响应事宜；</w:t>
      </w:r>
    </w:p>
    <w:p>
      <w:pPr>
        <w:adjustRightInd w:val="0"/>
        <w:snapToGrid w:val="0"/>
        <w:spacing w:line="440" w:lineRule="exact"/>
        <w:ind w:firstLine="480" w:firstLineChars="200"/>
        <w:rPr>
          <w:sz w:val="24"/>
        </w:rPr>
      </w:pPr>
      <w:r>
        <w:rPr>
          <w:rFonts w:hint="eastAsia"/>
          <w:sz w:val="24"/>
        </w:rPr>
        <w:t>3.不同响应方的响应文件载明的项目管理成员或者联系人员为同一人；</w:t>
      </w:r>
    </w:p>
    <w:p>
      <w:pPr>
        <w:adjustRightInd w:val="0"/>
        <w:snapToGrid w:val="0"/>
        <w:spacing w:line="440" w:lineRule="exact"/>
        <w:ind w:firstLine="480" w:firstLineChars="200"/>
        <w:rPr>
          <w:sz w:val="24"/>
        </w:rPr>
      </w:pPr>
      <w:r>
        <w:rPr>
          <w:rFonts w:hint="eastAsia"/>
          <w:sz w:val="24"/>
        </w:rPr>
        <w:t>4.不同响应方的响应文件异常一致或者响应报价呈规律性差异；</w:t>
      </w:r>
    </w:p>
    <w:p>
      <w:pPr>
        <w:adjustRightInd w:val="0"/>
        <w:snapToGrid w:val="0"/>
        <w:spacing w:line="440" w:lineRule="exact"/>
        <w:ind w:firstLine="480" w:firstLineChars="200"/>
        <w:rPr>
          <w:sz w:val="24"/>
        </w:rPr>
      </w:pPr>
      <w:r>
        <w:rPr>
          <w:rFonts w:hint="eastAsia"/>
          <w:sz w:val="24"/>
        </w:rPr>
        <w:t>5.不同响应方的响应文件相互混装。</w:t>
      </w:r>
    </w:p>
    <w:p>
      <w:pPr>
        <w:pStyle w:val="4"/>
        <w:spacing w:before="0" w:after="0"/>
        <w:ind w:firstLine="424" w:firstLineChars="176"/>
        <w:rPr>
          <w:sz w:val="24"/>
        </w:rPr>
      </w:pPr>
      <w:r>
        <w:rPr>
          <w:rFonts w:hint="eastAsia"/>
          <w:sz w:val="24"/>
        </w:rPr>
        <w:t>（九）响应无效的情形</w:t>
      </w:r>
    </w:p>
    <w:p>
      <w:pPr>
        <w:adjustRightInd w:val="0"/>
        <w:snapToGrid w:val="0"/>
        <w:spacing w:line="440" w:lineRule="exact"/>
        <w:ind w:firstLine="480" w:firstLineChars="200"/>
        <w:rPr>
          <w:sz w:val="24"/>
        </w:rPr>
      </w:pPr>
      <w:r>
        <w:rPr>
          <w:rFonts w:hint="eastAsia"/>
          <w:sz w:val="24"/>
        </w:rPr>
        <w:t>在评审时，如发现下列情形之一的，响应文件将被视为无效：</w:t>
      </w:r>
    </w:p>
    <w:p>
      <w:pPr>
        <w:adjustRightInd w:val="0"/>
        <w:snapToGrid w:val="0"/>
        <w:spacing w:line="440" w:lineRule="exact"/>
        <w:ind w:firstLine="480" w:firstLineChars="200"/>
        <w:rPr>
          <w:sz w:val="24"/>
        </w:rPr>
      </w:pPr>
      <w:r>
        <w:rPr>
          <w:rFonts w:hint="eastAsia"/>
          <w:sz w:val="24"/>
        </w:rPr>
        <w:t>1.响应方未能提供合格的资格文件、响应有效期不足的；</w:t>
      </w:r>
    </w:p>
    <w:p>
      <w:pPr>
        <w:adjustRightInd w:val="0"/>
        <w:snapToGrid w:val="0"/>
        <w:spacing w:line="440" w:lineRule="exact"/>
        <w:ind w:firstLine="480" w:firstLineChars="200"/>
        <w:rPr>
          <w:sz w:val="24"/>
        </w:rPr>
      </w:pPr>
      <w:r>
        <w:rPr>
          <w:rFonts w:hint="eastAsia"/>
          <w:sz w:val="24"/>
        </w:rPr>
        <w:t>2.响应方被列入失信被执行人、重大税收违法案件当事人名单、政府采购严重违法失信行为记录名单的；</w:t>
      </w:r>
    </w:p>
    <w:p>
      <w:pPr>
        <w:adjustRightInd w:val="0"/>
        <w:snapToGrid w:val="0"/>
        <w:spacing w:line="440" w:lineRule="exact"/>
        <w:ind w:firstLine="480" w:firstLineChars="200"/>
        <w:rPr>
          <w:sz w:val="24"/>
        </w:rPr>
      </w:pPr>
      <w:r>
        <w:rPr>
          <w:rFonts w:hint="eastAsia"/>
          <w:sz w:val="24"/>
        </w:rPr>
        <w:t>3.仅提供备份响应文件的；</w:t>
      </w:r>
    </w:p>
    <w:p>
      <w:pPr>
        <w:adjustRightInd w:val="0"/>
        <w:snapToGrid w:val="0"/>
        <w:spacing w:line="440" w:lineRule="exact"/>
        <w:ind w:firstLine="480" w:firstLineChars="200"/>
        <w:rPr>
          <w:sz w:val="24"/>
        </w:rPr>
      </w:pPr>
      <w:r>
        <w:rPr>
          <w:rFonts w:hint="eastAsia"/>
          <w:sz w:val="24"/>
        </w:rPr>
        <w:t>4.电子响应文件解密失败，且未在规定时间内提交备份响应文件的；</w:t>
      </w:r>
    </w:p>
    <w:p>
      <w:pPr>
        <w:adjustRightInd w:val="0"/>
        <w:snapToGrid w:val="0"/>
        <w:spacing w:line="440" w:lineRule="exact"/>
        <w:ind w:firstLine="480" w:firstLineChars="200"/>
        <w:rPr>
          <w:sz w:val="24"/>
        </w:rPr>
      </w:pPr>
      <w:r>
        <w:rPr>
          <w:rFonts w:hint="eastAsia"/>
          <w:sz w:val="24"/>
        </w:rPr>
        <w:t>5.电子响应文件解密失败，虽然在规定时间内提交了备份响应文件，但是备份响应文件无法导入或者无法读取或者不符合本征集文件和电子交易平台要求的；</w:t>
      </w:r>
    </w:p>
    <w:p>
      <w:pPr>
        <w:adjustRightInd w:val="0"/>
        <w:snapToGrid w:val="0"/>
        <w:spacing w:line="440" w:lineRule="exact"/>
        <w:ind w:firstLine="480" w:firstLineChars="200"/>
        <w:rPr>
          <w:sz w:val="24"/>
        </w:rPr>
      </w:pPr>
      <w:r>
        <w:rPr>
          <w:rFonts w:hint="eastAsia"/>
          <w:sz w:val="24"/>
        </w:rPr>
        <w:t>6.响应文件未按征集文件要求签署、盖章的；</w:t>
      </w:r>
    </w:p>
    <w:p>
      <w:pPr>
        <w:adjustRightInd w:val="0"/>
        <w:snapToGrid w:val="0"/>
        <w:spacing w:line="440" w:lineRule="exact"/>
        <w:ind w:firstLine="480" w:firstLineChars="200"/>
        <w:rPr>
          <w:sz w:val="24"/>
        </w:rPr>
      </w:pPr>
      <w:r>
        <w:rPr>
          <w:rFonts w:hint="eastAsia"/>
          <w:sz w:val="24"/>
        </w:rPr>
        <w:t>7.与征集文件有重大偏离、未满足带“▲”号实质性指标的响应文件；</w:t>
      </w:r>
    </w:p>
    <w:p>
      <w:pPr>
        <w:adjustRightInd w:val="0"/>
        <w:snapToGrid w:val="0"/>
        <w:spacing w:line="440" w:lineRule="exact"/>
        <w:ind w:firstLine="480" w:firstLineChars="200"/>
        <w:rPr>
          <w:sz w:val="24"/>
        </w:rPr>
      </w:pPr>
      <w:r>
        <w:rPr>
          <w:rFonts w:hint="eastAsia"/>
          <w:sz w:val="24"/>
        </w:rPr>
        <w:t>8.采购需求中要求提供的产品属于节能清单中政府强制采购节能产品品目的，响应方未提供该清单内产品的；</w:t>
      </w:r>
    </w:p>
    <w:p>
      <w:pPr>
        <w:adjustRightInd w:val="0"/>
        <w:snapToGrid w:val="0"/>
        <w:spacing w:line="440" w:lineRule="exact"/>
        <w:ind w:firstLine="480" w:firstLineChars="200"/>
        <w:rPr>
          <w:sz w:val="24"/>
        </w:rPr>
      </w:pPr>
      <w:r>
        <w:rPr>
          <w:rFonts w:hint="eastAsia"/>
          <w:sz w:val="24"/>
        </w:rPr>
        <w:t>9.报价超出征集文件中规定的价格区间范围或者最高限价的；</w:t>
      </w:r>
    </w:p>
    <w:p>
      <w:pPr>
        <w:adjustRightInd w:val="0"/>
        <w:snapToGrid w:val="0"/>
        <w:spacing w:line="440" w:lineRule="exact"/>
        <w:ind w:firstLine="480" w:firstLineChars="200"/>
        <w:rPr>
          <w:sz w:val="24"/>
        </w:rPr>
      </w:pPr>
      <w:r>
        <w:rPr>
          <w:rFonts w:hint="eastAsia"/>
          <w:sz w:val="24"/>
        </w:rPr>
        <w:t>10.标项以赠送方式响应的、对一个标项提供两个响应方案或两个报价的；</w:t>
      </w:r>
    </w:p>
    <w:p>
      <w:pPr>
        <w:adjustRightInd w:val="0"/>
        <w:snapToGrid w:val="0"/>
        <w:spacing w:line="440" w:lineRule="exact"/>
        <w:ind w:firstLine="480" w:firstLineChars="200"/>
        <w:rPr>
          <w:sz w:val="24"/>
        </w:rPr>
      </w:pPr>
      <w:r>
        <w:rPr>
          <w:rFonts w:hint="eastAsia"/>
          <w:sz w:val="24"/>
        </w:rPr>
        <w:t>11.评审小组认为响应方的报价明显低于其他通过符合性审查响应方的报价，有可能影响产品质量或者不能诚信履约，且不能证明其报价合理性的；</w:t>
      </w:r>
    </w:p>
    <w:p>
      <w:pPr>
        <w:adjustRightInd w:val="0"/>
        <w:snapToGrid w:val="0"/>
        <w:spacing w:line="440" w:lineRule="exact"/>
        <w:ind w:firstLine="480" w:firstLineChars="200"/>
        <w:rPr>
          <w:sz w:val="24"/>
        </w:rPr>
      </w:pPr>
      <w:r>
        <w:rPr>
          <w:rFonts w:hint="eastAsia"/>
          <w:sz w:val="24"/>
        </w:rPr>
        <w:t>12.响应方不接受报价文件中修正后的报价的；</w:t>
      </w:r>
    </w:p>
    <w:p>
      <w:pPr>
        <w:adjustRightInd w:val="0"/>
        <w:snapToGrid w:val="0"/>
        <w:spacing w:line="440" w:lineRule="exact"/>
        <w:ind w:firstLine="480" w:firstLineChars="200"/>
        <w:rPr>
          <w:sz w:val="24"/>
        </w:rPr>
      </w:pPr>
      <w:r>
        <w:rPr>
          <w:rFonts w:hint="eastAsia"/>
          <w:sz w:val="24"/>
        </w:rPr>
        <w:t>13.未按报价要求报价的；</w:t>
      </w:r>
    </w:p>
    <w:p>
      <w:pPr>
        <w:adjustRightInd w:val="0"/>
        <w:snapToGrid w:val="0"/>
        <w:spacing w:line="440" w:lineRule="exact"/>
        <w:ind w:firstLine="480" w:firstLineChars="200"/>
        <w:rPr>
          <w:sz w:val="24"/>
        </w:rPr>
      </w:pPr>
      <w:r>
        <w:rPr>
          <w:rFonts w:hint="eastAsia"/>
          <w:sz w:val="24"/>
        </w:rPr>
        <w:t>14.响应文件含有征集人、采购人不能接受的附加条件的；</w:t>
      </w:r>
    </w:p>
    <w:p>
      <w:pPr>
        <w:adjustRightInd w:val="0"/>
        <w:snapToGrid w:val="0"/>
        <w:spacing w:line="440" w:lineRule="exact"/>
        <w:ind w:firstLine="480" w:firstLineChars="200"/>
        <w:rPr>
          <w:sz w:val="24"/>
        </w:rPr>
      </w:pPr>
      <w:r>
        <w:rPr>
          <w:rFonts w:hint="eastAsia"/>
          <w:sz w:val="24"/>
        </w:rPr>
        <w:t>15.响应方被视为串通投标的；</w:t>
      </w:r>
    </w:p>
    <w:p>
      <w:pPr>
        <w:adjustRightInd w:val="0"/>
        <w:snapToGrid w:val="0"/>
        <w:spacing w:line="440" w:lineRule="exact"/>
        <w:ind w:firstLine="480" w:firstLineChars="200"/>
        <w:rPr>
          <w:sz w:val="24"/>
        </w:rPr>
      </w:pPr>
      <w:r>
        <w:rPr>
          <w:rFonts w:hint="eastAsia"/>
          <w:sz w:val="24"/>
        </w:rPr>
        <w:t>16.不符合法律法规和本征集文件规定的其他实质性要求的。</w:t>
      </w:r>
    </w:p>
    <w:p>
      <w:pPr>
        <w:pStyle w:val="4"/>
        <w:spacing w:before="0" w:after="0"/>
        <w:ind w:firstLine="424" w:firstLineChars="176"/>
        <w:rPr>
          <w:sz w:val="24"/>
        </w:rPr>
      </w:pPr>
      <w:r>
        <w:rPr>
          <w:rFonts w:hint="eastAsia"/>
          <w:sz w:val="24"/>
        </w:rPr>
        <w:t>（十）错误修正</w:t>
      </w:r>
    </w:p>
    <w:p>
      <w:pPr>
        <w:adjustRightInd w:val="0"/>
        <w:snapToGrid w:val="0"/>
        <w:spacing w:line="440" w:lineRule="exact"/>
        <w:ind w:firstLine="480" w:firstLineChars="200"/>
        <w:rPr>
          <w:sz w:val="24"/>
        </w:rPr>
      </w:pPr>
      <w:r>
        <w:rPr>
          <w:rFonts w:hint="eastAsia"/>
          <w:sz w:val="24"/>
        </w:rPr>
        <w:t>电子交易平台客户端里开标一览表录入的报价信息与扫描上传的报价文件不一致的，以扫描上传的报价文件为准。</w:t>
      </w:r>
    </w:p>
    <w:p>
      <w:pPr>
        <w:adjustRightInd w:val="0"/>
        <w:snapToGrid w:val="0"/>
        <w:spacing w:line="440" w:lineRule="exact"/>
        <w:ind w:firstLine="480" w:firstLineChars="200"/>
        <w:rPr>
          <w:sz w:val="24"/>
        </w:rPr>
      </w:pPr>
      <w:r>
        <w:rPr>
          <w:rFonts w:hint="eastAsia"/>
          <w:sz w:val="24"/>
        </w:rPr>
        <w:t>响应文件报价出现前后不一致的，除征集文件另有规定外，按照下列规定修正：</w:t>
      </w:r>
    </w:p>
    <w:p>
      <w:pPr>
        <w:adjustRightInd w:val="0"/>
        <w:snapToGrid w:val="0"/>
        <w:spacing w:line="440" w:lineRule="exact"/>
        <w:ind w:firstLine="480" w:firstLineChars="200"/>
        <w:rPr>
          <w:sz w:val="24"/>
        </w:rPr>
      </w:pPr>
      <w:r>
        <w:rPr>
          <w:rFonts w:hint="eastAsia"/>
          <w:sz w:val="24"/>
        </w:rPr>
        <w:t>1.响应文件中报价明细表内容与响应文件中相应内容不一致的，以报价明细表为准；</w:t>
      </w:r>
    </w:p>
    <w:p>
      <w:pPr>
        <w:adjustRightInd w:val="0"/>
        <w:snapToGrid w:val="0"/>
        <w:spacing w:line="440" w:lineRule="exact"/>
        <w:ind w:firstLine="480" w:firstLineChars="200"/>
        <w:rPr>
          <w:sz w:val="24"/>
        </w:rPr>
      </w:pPr>
      <w:r>
        <w:rPr>
          <w:rFonts w:hint="eastAsia"/>
          <w:sz w:val="24"/>
        </w:rPr>
        <w:t>2.大写金额和小写金额不一致的，以大写金额为准；</w:t>
      </w:r>
    </w:p>
    <w:p>
      <w:pPr>
        <w:adjustRightInd w:val="0"/>
        <w:snapToGrid w:val="0"/>
        <w:spacing w:line="440" w:lineRule="exact"/>
        <w:ind w:firstLine="480" w:firstLineChars="200"/>
        <w:rPr>
          <w:sz w:val="24"/>
        </w:rPr>
      </w:pPr>
      <w:r>
        <w:rPr>
          <w:rFonts w:hint="eastAsia"/>
          <w:sz w:val="24"/>
        </w:rPr>
        <w:t>3.单价金额小数点或者百分比有明显错位的，以报价明细表的总价为准，并修改单价；</w:t>
      </w:r>
    </w:p>
    <w:p>
      <w:pPr>
        <w:adjustRightInd w:val="0"/>
        <w:snapToGrid w:val="0"/>
        <w:spacing w:line="440" w:lineRule="exact"/>
        <w:ind w:firstLine="480" w:firstLineChars="200"/>
        <w:rPr>
          <w:sz w:val="24"/>
        </w:rPr>
      </w:pPr>
      <w:r>
        <w:rPr>
          <w:rFonts w:hint="eastAsia"/>
          <w:sz w:val="24"/>
        </w:rPr>
        <w:t>4.总价金额与按单价汇总金额不一致的，以单价金额计算结果为准。</w:t>
      </w:r>
    </w:p>
    <w:p>
      <w:pPr>
        <w:adjustRightInd w:val="0"/>
        <w:snapToGrid w:val="0"/>
        <w:spacing w:line="440" w:lineRule="exact"/>
        <w:ind w:firstLine="480" w:firstLineChars="200"/>
        <w:rPr>
          <w:sz w:val="24"/>
        </w:rPr>
      </w:pPr>
      <w:r>
        <w:rPr>
          <w:rFonts w:hint="eastAsia"/>
          <w:sz w:val="24"/>
        </w:rPr>
        <w:t>同时出现两种以上不一致的，按照前款规定的顺序修正。修正后的报价按照经响应方加盖公章后产生约束力，响应方不确认的，其响应无效。</w:t>
      </w:r>
    </w:p>
    <w:p>
      <w:pPr>
        <w:pStyle w:val="4"/>
        <w:spacing w:before="0" w:after="0"/>
        <w:ind w:firstLine="424" w:firstLineChars="176"/>
        <w:rPr>
          <w:sz w:val="24"/>
        </w:rPr>
      </w:pPr>
      <w:r>
        <w:rPr>
          <w:rFonts w:hint="eastAsia"/>
          <w:sz w:val="24"/>
        </w:rPr>
        <w:t>（十一）采购过程中的异常情况及处理措施</w:t>
      </w:r>
    </w:p>
    <w:p>
      <w:pPr>
        <w:adjustRightInd w:val="0"/>
        <w:snapToGrid w:val="0"/>
        <w:spacing w:line="440" w:lineRule="exact"/>
        <w:ind w:firstLine="480" w:firstLineChars="200"/>
        <w:rPr>
          <w:sz w:val="24"/>
        </w:rPr>
      </w:pPr>
      <w:r>
        <w:rPr>
          <w:rFonts w:hint="eastAsia"/>
          <w:sz w:val="24"/>
        </w:rPr>
        <w:t>采购过程中出现以下情形，导致电子交易平台无法正常运行，或者无法保证电子交易的公平、公正和安全时，征集人可中止电子交易活动：</w:t>
      </w:r>
    </w:p>
    <w:p>
      <w:pPr>
        <w:adjustRightInd w:val="0"/>
        <w:snapToGrid w:val="0"/>
        <w:spacing w:line="440" w:lineRule="exact"/>
        <w:ind w:firstLine="480" w:firstLineChars="200"/>
        <w:rPr>
          <w:sz w:val="24"/>
        </w:rPr>
      </w:pPr>
      <w:r>
        <w:rPr>
          <w:rFonts w:hint="eastAsia"/>
          <w:sz w:val="24"/>
        </w:rPr>
        <w:t>1.电子交易平台发生故障而无法登录访问的；</w:t>
      </w:r>
    </w:p>
    <w:p>
      <w:pPr>
        <w:adjustRightInd w:val="0"/>
        <w:snapToGrid w:val="0"/>
        <w:spacing w:line="440" w:lineRule="exact"/>
        <w:ind w:firstLine="480" w:firstLineChars="200"/>
        <w:rPr>
          <w:sz w:val="24"/>
        </w:rPr>
      </w:pPr>
      <w:r>
        <w:rPr>
          <w:rFonts w:hint="eastAsia"/>
          <w:sz w:val="24"/>
        </w:rPr>
        <w:t>2.电子交易平台应用或数据库出现错误，不能进行正常操作的；</w:t>
      </w:r>
    </w:p>
    <w:p>
      <w:pPr>
        <w:adjustRightInd w:val="0"/>
        <w:snapToGrid w:val="0"/>
        <w:spacing w:line="440" w:lineRule="exact"/>
        <w:ind w:firstLine="480" w:firstLineChars="200"/>
        <w:rPr>
          <w:sz w:val="24"/>
        </w:rPr>
      </w:pPr>
      <w:r>
        <w:rPr>
          <w:rFonts w:hint="eastAsia"/>
          <w:sz w:val="24"/>
        </w:rPr>
        <w:t>3.电子交易平台发现严重安全漏洞，有潜在泄密危险的；</w:t>
      </w:r>
    </w:p>
    <w:p>
      <w:pPr>
        <w:adjustRightInd w:val="0"/>
        <w:snapToGrid w:val="0"/>
        <w:spacing w:line="440" w:lineRule="exact"/>
        <w:ind w:firstLine="480" w:firstLineChars="200"/>
        <w:rPr>
          <w:sz w:val="24"/>
        </w:rPr>
      </w:pPr>
      <w:r>
        <w:rPr>
          <w:rFonts w:hint="eastAsia"/>
          <w:sz w:val="24"/>
        </w:rPr>
        <w:t>4.病毒发作导致不能进行正常操作的；</w:t>
      </w:r>
    </w:p>
    <w:p>
      <w:pPr>
        <w:adjustRightInd w:val="0"/>
        <w:snapToGrid w:val="0"/>
        <w:spacing w:line="440" w:lineRule="exact"/>
        <w:ind w:firstLine="480" w:firstLineChars="200"/>
        <w:rPr>
          <w:sz w:val="24"/>
        </w:rPr>
      </w:pPr>
      <w:r>
        <w:rPr>
          <w:rFonts w:hint="eastAsia"/>
          <w:sz w:val="24"/>
        </w:rPr>
        <w:t>5.其他无法保证电子交易的公平、公正和安全的情况。</w:t>
      </w:r>
    </w:p>
    <w:p>
      <w:pPr>
        <w:adjustRightInd w:val="0"/>
        <w:snapToGrid w:val="0"/>
        <w:spacing w:line="440" w:lineRule="exact"/>
        <w:ind w:firstLine="480" w:firstLineChars="200"/>
        <w:rPr>
          <w:sz w:val="24"/>
        </w:rPr>
      </w:pPr>
      <w:r>
        <w:rPr>
          <w:rFonts w:hint="eastAsia"/>
          <w:sz w:val="24"/>
        </w:rPr>
        <w:t>出现前款规定情形，不影响采购公平、公正性的，征集人可以待上述情形消除后继续组织电子交易活动；影响或可能影响采购公平、公正性的，应当重新采购。</w:t>
      </w:r>
    </w:p>
    <w:p>
      <w:pPr>
        <w:pStyle w:val="3"/>
        <w:spacing w:before="0" w:after="0" w:line="360" w:lineRule="auto"/>
        <w:ind w:firstLine="424" w:firstLineChars="151"/>
        <w:rPr>
          <w:sz w:val="28"/>
        </w:rPr>
      </w:pPr>
      <w:r>
        <w:rPr>
          <w:rFonts w:hint="eastAsia"/>
          <w:sz w:val="28"/>
        </w:rPr>
        <w:t>三、开、评标程序及评审小组的评审程序</w:t>
      </w:r>
    </w:p>
    <w:p>
      <w:pPr>
        <w:pStyle w:val="4"/>
        <w:spacing w:before="0" w:after="0"/>
        <w:ind w:firstLine="424" w:firstLineChars="176"/>
        <w:rPr>
          <w:sz w:val="24"/>
        </w:rPr>
      </w:pPr>
      <w:r>
        <w:rPr>
          <w:rFonts w:hint="eastAsia"/>
          <w:sz w:val="24"/>
        </w:rPr>
        <w:t>（一）组织开标</w:t>
      </w:r>
    </w:p>
    <w:p>
      <w:pPr>
        <w:adjustRightInd w:val="0"/>
        <w:snapToGrid w:val="0"/>
        <w:spacing w:line="440" w:lineRule="exact"/>
        <w:ind w:firstLine="480" w:firstLineChars="200"/>
        <w:rPr>
          <w:sz w:val="24"/>
        </w:rPr>
      </w:pPr>
      <w:r>
        <w:rPr>
          <w:rFonts w:hint="eastAsia"/>
          <w:sz w:val="24"/>
        </w:rPr>
        <w:t>征集人将按照征集文件规定的时间、地点和程序组织开标，各响应方授权代表及相关人员均应当准时在线参加，无关人员不得进入开标现场。响应方如未准时在线参加的，事后不得对采购相关人员、开标过程和开标结果提出异议。</w:t>
      </w:r>
    </w:p>
    <w:p>
      <w:pPr>
        <w:adjustRightInd w:val="0"/>
        <w:snapToGrid w:val="0"/>
        <w:spacing w:line="440" w:lineRule="exact"/>
        <w:ind w:firstLine="480" w:firstLineChars="200"/>
        <w:rPr>
          <w:sz w:val="24"/>
        </w:rPr>
      </w:pPr>
      <w:r>
        <w:rPr>
          <w:rFonts w:hint="eastAsia"/>
          <w:sz w:val="24"/>
        </w:rPr>
        <w:t>1.落实工作场地、设施，检查录音录像采集设备运行情况，验证电子交易平台是否能正常登录。</w:t>
      </w:r>
    </w:p>
    <w:p>
      <w:pPr>
        <w:adjustRightInd w:val="0"/>
        <w:snapToGrid w:val="0"/>
        <w:spacing w:line="440" w:lineRule="exact"/>
        <w:ind w:firstLine="480" w:firstLineChars="200"/>
        <w:rPr>
          <w:sz w:val="24"/>
        </w:rPr>
      </w:pPr>
      <w:r>
        <w:rPr>
          <w:rFonts w:hint="eastAsia"/>
          <w:sz w:val="24"/>
        </w:rPr>
        <w:t>2.开标由征集人（采购代理机构）主持，主持人介绍开标现场的人员情况。</w:t>
      </w:r>
    </w:p>
    <w:p>
      <w:pPr>
        <w:adjustRightInd w:val="0"/>
        <w:snapToGrid w:val="0"/>
        <w:spacing w:line="440" w:lineRule="exact"/>
        <w:ind w:firstLine="480" w:firstLineChars="200"/>
        <w:rPr>
          <w:sz w:val="24"/>
        </w:rPr>
      </w:pPr>
      <w:r>
        <w:rPr>
          <w:rFonts w:hint="eastAsia"/>
          <w:sz w:val="24"/>
        </w:rPr>
        <w:t>3.响应截止时，电子交易平台自动提取所有电子响应文件。征集人（采购代理机构）点击[开始解密]按钮后，响应方可以在线解密，解密时限为30分钟。</w:t>
      </w:r>
    </w:p>
    <w:p>
      <w:pPr>
        <w:adjustRightInd w:val="0"/>
        <w:snapToGrid w:val="0"/>
        <w:spacing w:line="440" w:lineRule="exact"/>
        <w:ind w:firstLine="480" w:firstLineChars="200"/>
        <w:rPr>
          <w:sz w:val="24"/>
        </w:rPr>
      </w:pPr>
      <w:r>
        <w:rPr>
          <w:rFonts w:hint="eastAsia"/>
          <w:sz w:val="24"/>
        </w:rPr>
        <w:t>4.响应方应当在解密时限内完成解密，如所有响应方的电子响应文件都已经解密完成的，则电子交易平台自动结束解密。如有任一响应方未解密，电子交易平台会在解密时限截止时自动结束解密。</w:t>
      </w:r>
    </w:p>
    <w:p>
      <w:pPr>
        <w:adjustRightInd w:val="0"/>
        <w:snapToGrid w:val="0"/>
        <w:spacing w:line="440" w:lineRule="exact"/>
        <w:ind w:firstLine="480" w:firstLineChars="200"/>
        <w:rPr>
          <w:sz w:val="24"/>
        </w:rPr>
      </w:pPr>
      <w:r>
        <w:rPr>
          <w:rFonts w:hint="eastAsia"/>
          <w:sz w:val="24"/>
        </w:rPr>
        <w:t>解密时限内未完成解密且按规定提供了备份响应文件的，征集人（采购代理机构）将拆封其备份响应文件，并导入电子交易平台。</w:t>
      </w:r>
    </w:p>
    <w:p>
      <w:pPr>
        <w:adjustRightInd w:val="0"/>
        <w:snapToGrid w:val="0"/>
        <w:spacing w:line="440" w:lineRule="exact"/>
        <w:ind w:firstLine="480" w:firstLineChars="200"/>
        <w:rPr>
          <w:sz w:val="24"/>
        </w:rPr>
      </w:pPr>
      <w:r>
        <w:rPr>
          <w:rFonts w:hint="eastAsia"/>
          <w:sz w:val="24"/>
        </w:rPr>
        <w:t>5.评审小组在商务和技术评审结束后，主持人通过电子交易平台宣布商务和技术评审无效响应方名称及理由，有效响应方的商务和技术得分情况。</w:t>
      </w:r>
    </w:p>
    <w:p>
      <w:pPr>
        <w:adjustRightInd w:val="0"/>
        <w:snapToGrid w:val="0"/>
        <w:spacing w:line="440" w:lineRule="exact"/>
        <w:ind w:firstLine="480" w:firstLineChars="200"/>
        <w:rPr>
          <w:sz w:val="24"/>
        </w:rPr>
      </w:pPr>
      <w:r>
        <w:rPr>
          <w:rFonts w:hint="eastAsia"/>
          <w:sz w:val="24"/>
        </w:rPr>
        <w:t>6.征集人（采购代理机构）在电子交易平台开启响应方的报价文件信息，响应方对报价信息进行确认。响应方对报价信息不予确认的不影响后续评审过程。</w:t>
      </w:r>
    </w:p>
    <w:p>
      <w:pPr>
        <w:adjustRightInd w:val="0"/>
        <w:snapToGrid w:val="0"/>
        <w:spacing w:line="440" w:lineRule="exact"/>
        <w:ind w:firstLine="480" w:firstLineChars="200"/>
        <w:rPr>
          <w:sz w:val="24"/>
        </w:rPr>
      </w:pPr>
      <w:r>
        <w:rPr>
          <w:rFonts w:hint="eastAsia"/>
          <w:sz w:val="24"/>
        </w:rPr>
        <w:t>7.评审小组经商议认为需要响应方作出必要澄清或说明的，应当通过电子交易平台交换数据电文。评审小组给予响应方提交澄清或说明的时间为半小时，响应方已经明确表示澄清或说明完毕的除外。</w:t>
      </w:r>
    </w:p>
    <w:p>
      <w:pPr>
        <w:adjustRightInd w:val="0"/>
        <w:snapToGrid w:val="0"/>
        <w:spacing w:line="440" w:lineRule="exact"/>
        <w:ind w:firstLine="480" w:firstLineChars="200"/>
        <w:rPr>
          <w:sz w:val="24"/>
        </w:rPr>
      </w:pPr>
      <w:r>
        <w:rPr>
          <w:rFonts w:hint="eastAsia"/>
          <w:sz w:val="24"/>
        </w:rPr>
        <w:t>8.在电子交易平台上公布评审结果。</w:t>
      </w:r>
    </w:p>
    <w:p>
      <w:pPr>
        <w:adjustRightInd w:val="0"/>
        <w:snapToGrid w:val="0"/>
        <w:spacing w:line="440" w:lineRule="exact"/>
        <w:ind w:firstLine="480" w:firstLineChars="200"/>
        <w:rPr>
          <w:sz w:val="24"/>
        </w:rPr>
      </w:pPr>
      <w:r>
        <w:rPr>
          <w:rFonts w:hint="eastAsia"/>
          <w:sz w:val="24"/>
        </w:rPr>
        <w:t>特别说明：政采云公司如对政府采购项目电子交易开标及评审程序有调整的，按调整后的程序操作。</w:t>
      </w:r>
    </w:p>
    <w:p>
      <w:pPr>
        <w:pStyle w:val="4"/>
        <w:spacing w:before="0" w:after="0"/>
        <w:ind w:firstLine="424" w:firstLineChars="176"/>
        <w:rPr>
          <w:sz w:val="24"/>
        </w:rPr>
      </w:pPr>
      <w:r>
        <w:rPr>
          <w:rFonts w:hint="eastAsia"/>
          <w:sz w:val="24"/>
        </w:rPr>
        <w:t>（二）组织评标程序</w:t>
      </w:r>
    </w:p>
    <w:p>
      <w:pPr>
        <w:adjustRightInd w:val="0"/>
        <w:snapToGrid w:val="0"/>
        <w:spacing w:line="440" w:lineRule="exact"/>
        <w:ind w:firstLine="480" w:firstLineChars="200"/>
        <w:rPr>
          <w:sz w:val="24"/>
        </w:rPr>
      </w:pPr>
      <w:r>
        <w:rPr>
          <w:rFonts w:hint="eastAsia"/>
          <w:sz w:val="24"/>
        </w:rPr>
        <w:t>征集人（采购代理机构）将按照征集文件规定的时间、地点和程序组织评审，各评审专家及相关人员应参加评审活动并接受核验、签到，无关人员不得进入评审现场。</w:t>
      </w:r>
    </w:p>
    <w:p>
      <w:pPr>
        <w:adjustRightInd w:val="0"/>
        <w:snapToGrid w:val="0"/>
        <w:spacing w:line="440" w:lineRule="exact"/>
        <w:ind w:firstLine="480" w:firstLineChars="200"/>
        <w:rPr>
          <w:sz w:val="24"/>
        </w:rPr>
      </w:pPr>
      <w:r>
        <w:rPr>
          <w:rFonts w:hint="eastAsia"/>
          <w:sz w:val="24"/>
        </w:rPr>
        <w:t>1.开启开标场地录音录像采集设备，并确保正常运行。</w:t>
      </w:r>
    </w:p>
    <w:p>
      <w:pPr>
        <w:adjustRightInd w:val="0"/>
        <w:snapToGrid w:val="0"/>
        <w:spacing w:line="440" w:lineRule="exact"/>
        <w:ind w:firstLine="480" w:firstLineChars="200"/>
        <w:rPr>
          <w:sz w:val="24"/>
        </w:rPr>
      </w:pPr>
      <w:r>
        <w:rPr>
          <w:rFonts w:hint="eastAsia"/>
          <w:sz w:val="24"/>
        </w:rPr>
        <w:t>2.按规定统一收缴、保存评审现场相关人员通讯工具。</w:t>
      </w:r>
    </w:p>
    <w:p>
      <w:pPr>
        <w:adjustRightInd w:val="0"/>
        <w:snapToGrid w:val="0"/>
        <w:spacing w:line="440" w:lineRule="exact"/>
        <w:ind w:firstLine="480" w:firstLineChars="200"/>
        <w:rPr>
          <w:sz w:val="24"/>
        </w:rPr>
      </w:pPr>
      <w:r>
        <w:rPr>
          <w:rFonts w:hint="eastAsia"/>
          <w:sz w:val="24"/>
        </w:rPr>
        <w:t>3.介绍评审现场的人员情况，宣布评审工作纪律，告知评审人员应当回避情形；组织推选评审小组组长。</w:t>
      </w:r>
    </w:p>
    <w:p>
      <w:pPr>
        <w:adjustRightInd w:val="0"/>
        <w:snapToGrid w:val="0"/>
        <w:spacing w:line="440" w:lineRule="exact"/>
        <w:ind w:firstLine="480" w:firstLineChars="200"/>
        <w:rPr>
          <w:sz w:val="24"/>
        </w:rPr>
      </w:pPr>
      <w:r>
        <w:rPr>
          <w:rFonts w:hint="eastAsia"/>
          <w:sz w:val="24"/>
        </w:rPr>
        <w:t>4.宣读提交响应文件的供应商名单，组织评审小组各位成员签订纸质形式的《政府采购评审人员廉洁自律承诺书》。</w:t>
      </w:r>
    </w:p>
    <w:p>
      <w:pPr>
        <w:adjustRightInd w:val="0"/>
        <w:snapToGrid w:val="0"/>
        <w:spacing w:line="440" w:lineRule="exact"/>
        <w:ind w:firstLine="480" w:firstLineChars="200"/>
        <w:rPr>
          <w:sz w:val="24"/>
        </w:rPr>
      </w:pPr>
      <w:r>
        <w:rPr>
          <w:rFonts w:hint="eastAsia"/>
          <w:sz w:val="24"/>
        </w:rPr>
        <w:t>5.征集人（主管预算单位）可以在评标前说明项目背景和采购需求，说明内容不得含有歧视性、倾向性意见，不得超出征集文件所述范围。说明应当提交书面材料，并随征集文件一并存档。</w:t>
      </w:r>
    </w:p>
    <w:p>
      <w:pPr>
        <w:adjustRightInd w:val="0"/>
        <w:snapToGrid w:val="0"/>
        <w:spacing w:line="440" w:lineRule="exact"/>
        <w:ind w:firstLine="480" w:firstLineChars="200"/>
        <w:rPr>
          <w:sz w:val="24"/>
        </w:rPr>
      </w:pPr>
      <w:r>
        <w:rPr>
          <w:rFonts w:hint="eastAsia"/>
          <w:sz w:val="24"/>
        </w:rPr>
        <w:t>6.根据需要简要介绍征集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人员提出的有关征集文件、响应文件的问题进行必要的说明、解释或讨论。</w:t>
      </w:r>
    </w:p>
    <w:p>
      <w:pPr>
        <w:adjustRightInd w:val="0"/>
        <w:snapToGrid w:val="0"/>
        <w:spacing w:line="440" w:lineRule="exact"/>
        <w:ind w:firstLine="480" w:firstLineChars="200"/>
        <w:rPr>
          <w:sz w:val="24"/>
        </w:rPr>
      </w:pPr>
      <w:r>
        <w:rPr>
          <w:rFonts w:hint="eastAsia"/>
          <w:sz w:val="24"/>
        </w:rPr>
        <w:t>7.征集人（主管预算单位）对响应方资格文件进行审查并以开标当日为准对响应方“信用中国”网站、中国政府采购网信用记录情况进行核实，资格不符合的，应组织相关响应方代表进行陈述、澄清或申辩。</w:t>
      </w:r>
    </w:p>
    <w:p>
      <w:pPr>
        <w:adjustRightInd w:val="0"/>
        <w:snapToGrid w:val="0"/>
        <w:spacing w:line="440" w:lineRule="exact"/>
        <w:ind w:firstLine="480" w:firstLineChars="200"/>
        <w:rPr>
          <w:sz w:val="24"/>
        </w:rPr>
      </w:pPr>
      <w:r>
        <w:rPr>
          <w:rFonts w:hint="eastAsia"/>
          <w:sz w:val="24"/>
        </w:rPr>
        <w:t>8.评审小组组长组织评审人员独立评审。评审小组对拟认定为响应文件无效，应组织相关响应方代表进行陈述、澄清或申辩；评审人员的评审、修改记录应保留原件，随项目其他资料一并存档。</w:t>
      </w:r>
    </w:p>
    <w:p>
      <w:pPr>
        <w:adjustRightInd w:val="0"/>
        <w:snapToGrid w:val="0"/>
        <w:spacing w:line="440" w:lineRule="exact"/>
        <w:ind w:firstLine="480" w:firstLineChars="200"/>
        <w:rPr>
          <w:sz w:val="24"/>
        </w:rPr>
      </w:pPr>
      <w:r>
        <w:rPr>
          <w:rFonts w:hint="eastAsia"/>
          <w:sz w:val="24"/>
        </w:rPr>
        <w:t>9.做好评审现场相关记录，协助评审小组组长做好评审报告起草、有关内容电脑文字录入等工作，并要求评审小组各成员签字确认。</w:t>
      </w:r>
    </w:p>
    <w:p>
      <w:pPr>
        <w:adjustRightInd w:val="0"/>
        <w:snapToGrid w:val="0"/>
        <w:spacing w:line="440" w:lineRule="exact"/>
        <w:ind w:firstLine="480" w:firstLineChars="200"/>
        <w:rPr>
          <w:sz w:val="24"/>
        </w:rPr>
      </w:pPr>
      <w:r>
        <w:rPr>
          <w:rFonts w:hint="eastAsia"/>
          <w:sz w:val="24"/>
        </w:rPr>
        <w:t>10.评审结束后，征集人应对评审小组各成员的专业水平、职业道德、遵纪守法等情况进行评价；同时按规定向评审专家发放评审费，并交还评审人员及其他现场相关人员的通讯工具。</w:t>
      </w:r>
    </w:p>
    <w:p>
      <w:pPr>
        <w:pStyle w:val="4"/>
        <w:spacing w:before="0" w:after="0"/>
        <w:ind w:firstLine="424" w:firstLineChars="176"/>
        <w:rPr>
          <w:sz w:val="24"/>
        </w:rPr>
      </w:pPr>
      <w:r>
        <w:rPr>
          <w:rFonts w:hint="eastAsia"/>
          <w:sz w:val="24"/>
        </w:rPr>
        <w:t>（三）评审程序</w:t>
      </w:r>
    </w:p>
    <w:p>
      <w:pPr>
        <w:spacing w:line="360" w:lineRule="auto"/>
        <w:ind w:firstLine="480" w:firstLineChars="200"/>
        <w:rPr>
          <w:sz w:val="24"/>
        </w:rPr>
      </w:pPr>
      <w:r>
        <w:rPr>
          <w:rFonts w:hint="eastAsia"/>
          <w:sz w:val="24"/>
        </w:rPr>
        <w:t>1.在评审专家中推选评审小组组长。</w:t>
      </w:r>
    </w:p>
    <w:p>
      <w:pPr>
        <w:spacing w:line="360" w:lineRule="auto"/>
        <w:ind w:firstLine="480" w:firstLineChars="200"/>
        <w:rPr>
          <w:sz w:val="24"/>
        </w:rPr>
      </w:pPr>
      <w:r>
        <w:rPr>
          <w:rFonts w:hint="eastAsia"/>
          <w:sz w:val="24"/>
        </w:rPr>
        <w:t>2.评审小组组长召集成员认真阅读征集文件以及相关补充、质疑、答复文件、项目书面说明等材料，熟悉采购项目的基本概况，采购项目的质量要求、数量、主要技术标准或服务需求，采购合同主要条款，响应文件无效情形，评审方法、评审依据、评审标准等。</w:t>
      </w:r>
    </w:p>
    <w:p>
      <w:pPr>
        <w:spacing w:line="360" w:lineRule="auto"/>
        <w:ind w:firstLine="480" w:firstLineChars="200"/>
        <w:rPr>
          <w:sz w:val="24"/>
        </w:rPr>
      </w:pPr>
      <w:r>
        <w:rPr>
          <w:rFonts w:hint="eastAsia"/>
          <w:sz w:val="24"/>
        </w:rPr>
        <w:t>3.评审人员对各响应方响应文件的有效性、符合性、完整性和响应程度进行资格性和符合性审查，确定是否对征集文件作出实质性响应。</w:t>
      </w:r>
    </w:p>
    <w:p>
      <w:pPr>
        <w:spacing w:line="360" w:lineRule="auto"/>
        <w:ind w:firstLine="480" w:firstLineChars="200"/>
        <w:rPr>
          <w:sz w:val="24"/>
        </w:rPr>
      </w:pPr>
      <w:r>
        <w:rPr>
          <w:rFonts w:hint="eastAsia"/>
          <w:sz w:val="24"/>
        </w:rPr>
        <w:t>4.评审人员按征集文件规定的评审方法和评审标准，依法独立对响应方响应文件进行评估、比较，并给予评价或打分，不受任何单位和个人的干预。</w:t>
      </w:r>
    </w:p>
    <w:p>
      <w:pPr>
        <w:spacing w:line="360" w:lineRule="auto"/>
        <w:ind w:firstLine="480" w:firstLineChars="200"/>
        <w:rPr>
          <w:sz w:val="24"/>
        </w:rPr>
      </w:pPr>
      <w:r>
        <w:rPr>
          <w:rFonts w:hint="eastAsia"/>
          <w:sz w:val="24"/>
        </w:rPr>
        <w:t>5.评审人员对各响应方响应文件非实质性内容有疑义或异议，或者审查发现明显的文字或计算错误等，及时向评审小组组长提出。经评审小组商议认为需要响应方作出必要澄清或说明的，应通知该响应方以书面形式作出澄清或说明。授权代表未按时确认或拒绝澄清说明或澄清说明的内容改变了响应文件的实质性内容的，评审小组有权对该响应文件作出不利于响应方的评判。书面通知及澄清说明文件应作为政府采购项目档案归档留存。</w:t>
      </w:r>
    </w:p>
    <w:p>
      <w:pPr>
        <w:spacing w:line="360" w:lineRule="auto"/>
        <w:ind w:firstLine="480" w:firstLineChars="200"/>
        <w:rPr>
          <w:sz w:val="24"/>
        </w:rPr>
      </w:pPr>
      <w:r>
        <w:rPr>
          <w:rFonts w:hint="eastAsia"/>
          <w:sz w:val="24"/>
        </w:rPr>
        <w:t>6.评审小组根据评审汇总情况和征集文件规定进行响应报价评审并确定入围供应商。 评审小组在进行响应报价评审时，报价中折扣所填数值（百分符号前面的数）须为大于0小于等于70的整数。</w:t>
      </w:r>
    </w:p>
    <w:p>
      <w:pPr>
        <w:spacing w:line="360" w:lineRule="auto"/>
        <w:ind w:firstLine="480" w:firstLineChars="200"/>
        <w:rPr>
          <w:sz w:val="24"/>
        </w:rPr>
      </w:pPr>
      <w:r>
        <w:rPr>
          <w:rFonts w:hint="eastAsia"/>
          <w:sz w:val="24"/>
        </w:rPr>
        <w:t>7.起草评审报告，所有评审人员须在评审报告上签字确认。</w:t>
      </w:r>
    </w:p>
    <w:p>
      <w:pPr>
        <w:pStyle w:val="3"/>
        <w:spacing w:before="0" w:after="0" w:line="360" w:lineRule="auto"/>
        <w:ind w:firstLine="424" w:firstLineChars="151"/>
        <w:rPr>
          <w:sz w:val="28"/>
        </w:rPr>
      </w:pPr>
      <w:r>
        <w:rPr>
          <w:rFonts w:hint="eastAsia"/>
          <w:sz w:val="28"/>
        </w:rPr>
        <w:t>四、评审原则</w:t>
      </w:r>
    </w:p>
    <w:p>
      <w:pPr>
        <w:spacing w:line="360" w:lineRule="auto"/>
        <w:ind w:firstLine="480" w:firstLineChars="200"/>
        <w:rPr>
          <w:sz w:val="24"/>
        </w:rPr>
      </w:pPr>
      <w:r>
        <w:rPr>
          <w:rFonts w:hint="eastAsia"/>
          <w:sz w:val="24"/>
        </w:rPr>
        <w:t>1.评审小组必须公平、公正、客观，不带任何倾向性、歧视性和启发性；不得向外界透露任何与评审有关的内容；任何单位和个人不得干扰、影响评审的正常进行；评审小组及有关工作人员不得私下与响应方接触。</w:t>
      </w:r>
    </w:p>
    <w:p>
      <w:pPr>
        <w:spacing w:line="360" w:lineRule="auto"/>
        <w:ind w:firstLine="480" w:firstLineChars="200"/>
        <w:rPr>
          <w:sz w:val="24"/>
        </w:rPr>
      </w:pPr>
      <w:r>
        <w:rPr>
          <w:rFonts w:hint="eastAsia"/>
          <w:sz w:val="24"/>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响应方择期重新评审的时间和地点。</w:t>
      </w:r>
    </w:p>
    <w:p>
      <w:pPr>
        <w:spacing w:line="360" w:lineRule="auto"/>
        <w:ind w:firstLine="480" w:firstLineChars="200"/>
        <w:rPr>
          <w:sz w:val="24"/>
        </w:rPr>
      </w:pPr>
      <w:r>
        <w:rPr>
          <w:rFonts w:hint="eastAsia"/>
          <w:sz w:val="24"/>
        </w:rPr>
        <w:t>3.评审人员对有关征集文件、响应文件、样品或现场演示（如有）的说明、解释、要求、标准存在不同意见的，持不同意见的评审人员及其意见或理由应予以完整记录，并在评审过程中按照少数服从多数的原则表决执行。对征集文件本身不明确或存在歧义、矛盾的内容，应作对响应方而非征集人（主管预算单位）、采购人有利的解释；对因征集文件中有关产品技术参数需求表述不清导致响应方实质性响应不一致时，应终止评审，重新组织采购。评审人员拒绝在评审报告中签字又不说明其不同意见或理由的，由现场监督员记录在案后，可视为同意评审结果。</w:t>
      </w:r>
    </w:p>
    <w:p>
      <w:pPr>
        <w:pStyle w:val="3"/>
        <w:spacing w:before="0" w:after="0" w:line="360" w:lineRule="auto"/>
        <w:ind w:firstLine="424" w:firstLineChars="151"/>
        <w:rPr>
          <w:sz w:val="28"/>
        </w:rPr>
      </w:pPr>
      <w:r>
        <w:rPr>
          <w:rFonts w:hint="eastAsia"/>
          <w:sz w:val="28"/>
        </w:rPr>
        <w:t>五、确定入围供应商的原则</w:t>
      </w:r>
    </w:p>
    <w:p>
      <w:pPr>
        <w:snapToGrid w:val="0"/>
        <w:spacing w:line="460" w:lineRule="exact"/>
        <w:ind w:firstLine="480" w:firstLineChars="200"/>
        <w:rPr>
          <w:sz w:val="24"/>
        </w:rPr>
      </w:pPr>
      <w:r>
        <w:rPr>
          <w:rFonts w:hint="eastAsia"/>
          <w:sz w:val="24"/>
        </w:rPr>
        <w:t>1.项目由评审小组根据《第四章 评审办法及标准》规定，在评审报告中确定入围供应商。</w:t>
      </w:r>
    </w:p>
    <w:p>
      <w:pPr>
        <w:snapToGrid w:val="0"/>
        <w:spacing w:line="460" w:lineRule="exact"/>
        <w:ind w:firstLine="480" w:firstLineChars="200"/>
        <w:rPr>
          <w:sz w:val="24"/>
        </w:rPr>
      </w:pPr>
      <w:r>
        <w:rPr>
          <w:rFonts w:hint="eastAsia"/>
          <w:sz w:val="24"/>
        </w:rPr>
        <w:t>2.征集人将于评审结果确定后2个工作日内在浙江省政府采购网上发布入围结果公告，通过电子交易平台共同签发《入围通知书》。</w:t>
      </w:r>
    </w:p>
    <w:p>
      <w:pPr>
        <w:pStyle w:val="3"/>
        <w:spacing w:before="0" w:after="0" w:line="360" w:lineRule="auto"/>
        <w:ind w:firstLine="424" w:firstLineChars="151"/>
        <w:rPr>
          <w:sz w:val="28"/>
        </w:rPr>
      </w:pPr>
      <w:r>
        <w:rPr>
          <w:rFonts w:hint="eastAsia"/>
          <w:sz w:val="28"/>
        </w:rPr>
        <w:t>六、协议签订</w:t>
      </w:r>
    </w:p>
    <w:p>
      <w:pPr>
        <w:snapToGrid w:val="0"/>
        <w:spacing w:line="460" w:lineRule="exact"/>
        <w:ind w:firstLine="480" w:firstLineChars="200"/>
        <w:rPr>
          <w:sz w:val="24"/>
        </w:rPr>
      </w:pPr>
      <w:r>
        <w:rPr>
          <w:rFonts w:hint="eastAsia"/>
          <w:sz w:val="24"/>
        </w:rPr>
        <w:t>（一）征集人（主管预算单位）与入围供应商应当在《入围通知书》发出之日起30日内签订政府采购框架协议，并在7个工作日内报同级财政部门备案。</w:t>
      </w:r>
    </w:p>
    <w:p>
      <w:pPr>
        <w:snapToGrid w:val="0"/>
        <w:spacing w:line="460" w:lineRule="exact"/>
        <w:ind w:firstLine="480" w:firstLineChars="200"/>
        <w:rPr>
          <w:sz w:val="24"/>
        </w:rPr>
      </w:pPr>
      <w:r>
        <w:rPr>
          <w:rFonts w:hint="eastAsia"/>
          <w:sz w:val="24"/>
        </w:rPr>
        <w:t>（二）入围供应商拖延、拒签协议的，将视为无正当理由放弃封闭式框架协议入围供应商资格。</w:t>
      </w:r>
    </w:p>
    <w:p>
      <w:pPr>
        <w:adjustRightInd w:val="0"/>
        <w:snapToGrid w:val="0"/>
        <w:spacing w:line="440" w:lineRule="exact"/>
        <w:ind w:firstLine="480" w:firstLineChars="200"/>
        <w:rPr>
          <w:sz w:val="24"/>
        </w:rPr>
        <w:sectPr>
          <w:pgSz w:w="11906" w:h="16838"/>
          <w:pgMar w:top="1440" w:right="1800" w:bottom="1440" w:left="1800" w:header="851" w:footer="992" w:gutter="0"/>
          <w:cols w:space="425" w:num="1"/>
          <w:docGrid w:type="lines" w:linePitch="312" w:charSpace="0"/>
        </w:sectPr>
      </w:pPr>
    </w:p>
    <w:p>
      <w:pPr>
        <w:pStyle w:val="2"/>
      </w:pPr>
      <w:bookmarkStart w:id="4" w:name="_Toc157175692"/>
      <w:r>
        <w:rPr>
          <w:rFonts w:hint="eastAsia"/>
        </w:rPr>
        <w:t>第四章 评审办法及标准</w:t>
      </w:r>
      <w:bookmarkEnd w:id="4"/>
    </w:p>
    <w:p>
      <w:pPr>
        <w:spacing w:line="360" w:lineRule="auto"/>
        <w:ind w:firstLine="480" w:firstLineChars="200"/>
        <w:rPr>
          <w:sz w:val="24"/>
        </w:rPr>
      </w:pPr>
      <w:r>
        <w:rPr>
          <w:rFonts w:hint="eastAsia"/>
          <w:sz w:val="24"/>
        </w:rPr>
        <w:t>根据《中华人民共和国政府采购法》等有关法律法规，结合本项目的实际需求，制定本办法。</w:t>
      </w:r>
    </w:p>
    <w:p>
      <w:pPr>
        <w:pStyle w:val="3"/>
        <w:spacing w:before="0" w:after="0" w:line="360" w:lineRule="auto"/>
        <w:ind w:firstLine="424" w:firstLineChars="151"/>
        <w:rPr>
          <w:sz w:val="28"/>
        </w:rPr>
      </w:pPr>
      <w:r>
        <w:rPr>
          <w:rFonts w:hint="eastAsia"/>
          <w:sz w:val="28"/>
        </w:rPr>
        <w:t>一、总则</w:t>
      </w:r>
    </w:p>
    <w:p>
      <w:pPr>
        <w:spacing w:line="360" w:lineRule="auto"/>
        <w:ind w:firstLine="480" w:firstLineChars="200"/>
        <w:rPr>
          <w:sz w:val="24"/>
        </w:rPr>
      </w:pPr>
      <w:r>
        <w:rPr>
          <w:rFonts w:hint="eastAsia"/>
          <w:sz w:val="24"/>
        </w:rPr>
        <w:t>本次评审采用价格优先法。价格优先法是指对满足采购需求且响应报价不超过最高限制单价的服务，按照响应报价从低到高排序，根据征集文件规定的淘汰率或者入围供应商数量上限，确定入围供应商的评审方法。</w:t>
      </w:r>
    </w:p>
    <w:p>
      <w:pPr>
        <w:pStyle w:val="3"/>
        <w:spacing w:before="0" w:after="0" w:line="360" w:lineRule="auto"/>
        <w:ind w:firstLine="424" w:firstLineChars="151"/>
        <w:rPr>
          <w:sz w:val="28"/>
        </w:rPr>
      </w:pPr>
      <w:r>
        <w:rPr>
          <w:rFonts w:hint="eastAsia"/>
          <w:sz w:val="28"/>
        </w:rPr>
        <w:t>二、入围供应商的确定</w:t>
      </w:r>
    </w:p>
    <w:p>
      <w:pPr>
        <w:adjustRightInd w:val="0"/>
        <w:snapToGrid w:val="0"/>
        <w:spacing w:line="440" w:lineRule="exact"/>
        <w:ind w:firstLine="424" w:firstLineChars="177"/>
        <w:rPr>
          <w:sz w:val="24"/>
        </w:rPr>
      </w:pPr>
      <w:r>
        <w:rPr>
          <w:rFonts w:hint="eastAsia"/>
          <w:sz w:val="24"/>
        </w:rPr>
        <w:t>1.本项目采购入围数量根据征集文件规定的淘汰率 20 %确定，且入围至多30家，并至少淘汰一家供应商。</w:t>
      </w:r>
    </w:p>
    <w:p>
      <w:pPr>
        <w:adjustRightInd w:val="0"/>
        <w:snapToGrid w:val="0"/>
        <w:spacing w:line="440" w:lineRule="exact"/>
        <w:ind w:firstLine="424" w:firstLineChars="177"/>
        <w:rPr>
          <w:sz w:val="24"/>
        </w:rPr>
      </w:pPr>
      <w:r>
        <w:rPr>
          <w:rFonts w:hint="eastAsia"/>
          <w:sz w:val="24"/>
        </w:rPr>
        <w:t>⑴对符合资格条件、实质性要求即满足采购需求且响应报价不超过最高限制单价的供应商，按照响应报价从低到高排序，入围供应商的确定需同时满足征集文件规定的淘汰率与入围供应商数量上限。</w:t>
      </w:r>
    </w:p>
    <w:p>
      <w:pPr>
        <w:adjustRightInd w:val="0"/>
        <w:snapToGrid w:val="0"/>
        <w:spacing w:line="440" w:lineRule="exact"/>
        <w:ind w:firstLine="424" w:firstLineChars="177"/>
        <w:rPr>
          <w:sz w:val="24"/>
        </w:rPr>
      </w:pPr>
      <w:r>
        <w:rPr>
          <w:rFonts w:hint="eastAsia"/>
          <w:sz w:val="24"/>
        </w:rPr>
        <w:t>⑵如有效供应商的入围数量淘汰率为20%的项目的有效供应商数量的80%为非整数的，采用去尾法取整数，如有效供应商为12家时，排序在前的9家入围，淘汰末尾3家，以此类推。在报价相同的情况下，按照环保节能政策、绿色发展政策、扶持不发达地区等政府采购扶持政策进行排序。</w:t>
      </w:r>
    </w:p>
    <w:p>
      <w:pPr>
        <w:adjustRightInd w:val="0"/>
        <w:snapToGrid w:val="0"/>
        <w:spacing w:line="440" w:lineRule="exact"/>
        <w:ind w:firstLine="424" w:firstLineChars="177"/>
        <w:rPr>
          <w:sz w:val="24"/>
        </w:rPr>
      </w:pPr>
      <w:r>
        <w:rPr>
          <w:rFonts w:hint="eastAsia"/>
          <w:sz w:val="24"/>
        </w:rPr>
        <w:t>⑶如出现末位供应商并列的情况，则以抓阄方式随机确定入围供应商。</w:t>
      </w:r>
    </w:p>
    <w:p>
      <w:pPr>
        <w:adjustRightInd w:val="0"/>
        <w:snapToGrid w:val="0"/>
        <w:spacing w:line="440" w:lineRule="exact"/>
        <w:ind w:firstLine="424" w:firstLineChars="177"/>
        <w:rPr>
          <w:sz w:val="24"/>
        </w:rPr>
      </w:pPr>
      <w:r>
        <w:rPr>
          <w:rFonts w:hint="eastAsia"/>
          <w:sz w:val="24"/>
        </w:rPr>
        <w:t>2. 若本项目为非专门面向中小企业采购的，则需在评审时对符合享受政府采购扶持政策的中小企业、残疾人福利单位、监狱企业报价按照前附表的规定给予相应的价格扣除，此扣除后报价仅用于价格排序。</w:t>
      </w:r>
    </w:p>
    <w:p>
      <w:pPr>
        <w:adjustRightInd w:val="0"/>
        <w:snapToGrid w:val="0"/>
        <w:spacing w:line="440" w:lineRule="exact"/>
        <w:ind w:firstLine="424" w:firstLineChars="177"/>
        <w:rPr>
          <w:sz w:val="24"/>
        </w:rPr>
      </w:pPr>
      <w:r>
        <w:rPr>
          <w:rFonts w:hint="eastAsia"/>
          <w:sz w:val="24"/>
        </w:rPr>
        <w:t>3.本项目提交响应文件和符合资格条件、实质性要求的供应商应当不少于2家，否则本项目作废标处理。</w:t>
      </w:r>
    </w:p>
    <w:p>
      <w:pPr>
        <w:adjustRightInd w:val="0"/>
        <w:snapToGrid w:val="0"/>
        <w:spacing w:line="440" w:lineRule="exact"/>
        <w:ind w:firstLine="424" w:firstLineChars="177"/>
        <w:rPr>
          <w:sz w:val="24"/>
        </w:rPr>
      </w:pPr>
      <w:r>
        <w:rPr>
          <w:rFonts w:hint="eastAsia"/>
          <w:sz w:val="24"/>
        </w:rPr>
        <w:t>4.采购完成后，如出现质疑并成立，淘汰部分已经入围供应商，不再另行递补入围供应商。</w:t>
      </w:r>
    </w:p>
    <w:p>
      <w:pPr>
        <w:adjustRightInd w:val="0"/>
        <w:snapToGrid w:val="0"/>
        <w:spacing w:line="440" w:lineRule="exact"/>
        <w:ind w:firstLine="424" w:firstLineChars="177"/>
        <w:rPr>
          <w:sz w:val="24"/>
        </w:rPr>
        <w:sectPr>
          <w:pgSz w:w="11906" w:h="16838"/>
          <w:pgMar w:top="1440" w:right="1800" w:bottom="1440" w:left="1800" w:header="851" w:footer="992" w:gutter="0"/>
          <w:cols w:space="425" w:num="1"/>
          <w:docGrid w:type="lines" w:linePitch="312" w:charSpace="0"/>
        </w:sectPr>
      </w:pPr>
      <w:r>
        <w:rPr>
          <w:rFonts w:hint="eastAsia"/>
          <w:sz w:val="24"/>
        </w:rPr>
        <w:t>5.框架协议有效期内如出现剩余入围供应商不足入围供应商总数70%且影响框架协议执行的情形，征集人将启动补充征集工作。</w:t>
      </w:r>
    </w:p>
    <w:p>
      <w:pPr>
        <w:pStyle w:val="2"/>
      </w:pPr>
      <w:bookmarkStart w:id="5" w:name="_Toc157175693"/>
      <w:r>
        <w:rPr>
          <w:rFonts w:hint="eastAsia"/>
        </w:rPr>
        <w:t>第五章 拟签订的框架协议文本和采购合同文本</w:t>
      </w:r>
      <w:bookmarkEnd w:id="5"/>
    </w:p>
    <w:p>
      <w:pPr>
        <w:pStyle w:val="3"/>
        <w:spacing w:before="0" w:after="0" w:line="360" w:lineRule="auto"/>
        <w:ind w:firstLine="424" w:firstLineChars="151"/>
        <w:jc w:val="center"/>
        <w:rPr>
          <w:sz w:val="28"/>
        </w:rPr>
      </w:pPr>
      <w:r>
        <w:rPr>
          <w:rFonts w:hint="eastAsia"/>
          <w:sz w:val="28"/>
        </w:rPr>
        <w:t>2024-2026年度浦江县政府投资项目审核服务第三方机构封闭式框架协议项目封闭式框架协议</w:t>
      </w:r>
    </w:p>
    <w:p>
      <w:pPr>
        <w:spacing w:line="440" w:lineRule="exact"/>
        <w:ind w:firstLine="482"/>
        <w:rPr>
          <w:rFonts w:ascii="宋体" w:hAnsi="宋体"/>
        </w:rPr>
      </w:pPr>
      <w:r>
        <w:rPr>
          <w:rFonts w:hint="eastAsia" w:ascii="宋体" w:hAnsi="宋体" w:eastAsia="宋体" w:cs="宋体"/>
          <w:b/>
          <w:bCs/>
          <w:sz w:val="24"/>
        </w:rPr>
        <w:t>甲方（征集人）：浦江县财政项目预算审核中心</w:t>
      </w:r>
    </w:p>
    <w:p>
      <w:pPr>
        <w:spacing w:line="440" w:lineRule="exact"/>
        <w:ind w:firstLine="482"/>
        <w:rPr>
          <w:rFonts w:ascii="宋体" w:hAnsi="宋体"/>
          <w:b/>
          <w:bCs/>
          <w:u w:val="single"/>
        </w:rPr>
      </w:pPr>
      <w:r>
        <w:rPr>
          <w:rFonts w:hint="eastAsia" w:ascii="宋体" w:hAnsi="宋体" w:eastAsia="宋体" w:cs="宋体"/>
          <w:b/>
          <w:bCs/>
          <w:sz w:val="24"/>
        </w:rPr>
        <w:t>乙方（入围供应商）：</w:t>
      </w:r>
      <w:r>
        <w:rPr>
          <w:rFonts w:hint="eastAsia" w:ascii="宋体" w:hAnsi="宋体" w:eastAsia="宋体" w:cs="宋体"/>
          <w:b/>
          <w:bCs/>
          <w:sz w:val="24"/>
          <w:u w:val="single"/>
        </w:rPr>
        <w:t xml:space="preserve">                                             </w:t>
      </w:r>
    </w:p>
    <w:p>
      <w:pPr>
        <w:adjustRightInd w:val="0"/>
        <w:snapToGrid w:val="0"/>
        <w:spacing w:line="440" w:lineRule="exact"/>
        <w:ind w:firstLine="482"/>
        <w:rPr>
          <w:rFonts w:ascii="宋体" w:hAnsi="宋体" w:eastAsia="宋体"/>
        </w:rPr>
      </w:pPr>
      <w:r>
        <w:rPr>
          <w:rFonts w:hint="eastAsia"/>
          <w:sz w:val="24"/>
        </w:rPr>
        <w:t xml:space="preserve"> </w:t>
      </w:r>
      <w:r>
        <w:rPr>
          <w:rFonts w:hint="eastAsia" w:ascii="宋体" w:hAnsi="宋体" w:eastAsia="宋体"/>
          <w:sz w:val="24"/>
        </w:rPr>
        <w:t>甲、乙双方根据</w:t>
      </w:r>
      <w:r>
        <w:rPr>
          <w:rFonts w:hint="eastAsia" w:ascii="宋体" w:hAnsi="宋体" w:eastAsia="宋体"/>
          <w:sz w:val="24"/>
          <w:u w:val="single"/>
        </w:rPr>
        <w:t xml:space="preserve">  2024-2026年度浦江县政府投资项目审核服务第三方机构封闭式框架协议项目  </w:t>
      </w:r>
      <w:r>
        <w:rPr>
          <w:rFonts w:hint="eastAsia" w:ascii="宋体" w:hAnsi="宋体" w:eastAsia="宋体"/>
          <w:sz w:val="24"/>
        </w:rPr>
        <w:t>（项目编号：ZPKJ2024-001）的征集的结果，签署本协议（以下简称“协议”）。协议期内，乙方适用于框架协议的采购人双方签署《政府采购合同》（以下简称“合同”）。</w:t>
      </w:r>
    </w:p>
    <w:p>
      <w:pPr>
        <w:pStyle w:val="10"/>
        <w:ind w:firstLine="482"/>
        <w:rPr>
          <w:b/>
        </w:rPr>
      </w:pPr>
      <w:r>
        <w:rPr>
          <w:rFonts w:hint="eastAsia"/>
          <w:b/>
        </w:rPr>
        <w:t>一、定义</w:t>
      </w:r>
    </w:p>
    <w:p>
      <w:pPr>
        <w:snapToGrid w:val="0"/>
        <w:spacing w:line="460" w:lineRule="exact"/>
        <w:ind w:firstLine="480" w:firstLineChars="200"/>
        <w:rPr>
          <w:rFonts w:ascii="宋体" w:hAnsi="宋体" w:cs="宋体"/>
          <w:sz w:val="24"/>
        </w:rPr>
      </w:pPr>
      <w:r>
        <w:rPr>
          <w:rFonts w:hint="eastAsia" w:ascii="宋体" w:hAnsi="宋体" w:cs="宋体"/>
          <w:sz w:val="24"/>
        </w:rPr>
        <w:t>本协议中的下列术语应解释为：</w:t>
      </w:r>
    </w:p>
    <w:p>
      <w:pPr>
        <w:snapToGrid w:val="0"/>
        <w:spacing w:line="460" w:lineRule="exact"/>
        <w:ind w:firstLine="480" w:firstLineChars="200"/>
        <w:rPr>
          <w:rFonts w:ascii="宋体" w:hAnsi="宋体" w:cs="宋体"/>
          <w:sz w:val="24"/>
        </w:rPr>
      </w:pPr>
      <w:r>
        <w:rPr>
          <w:rFonts w:hint="eastAsia" w:ascii="宋体" w:hAnsi="宋体" w:cs="宋体"/>
          <w:sz w:val="24"/>
        </w:rPr>
        <w:t>1.“协议”系指甲方与乙方签署的、载明甲方与乙方协利义务的协议，包括所有的附件、附录和其他构成协议的所有文件。</w:t>
      </w:r>
    </w:p>
    <w:p>
      <w:pPr>
        <w:snapToGrid w:val="0"/>
        <w:spacing w:line="460" w:lineRule="exact"/>
        <w:ind w:firstLine="480" w:firstLineChars="200"/>
        <w:rPr>
          <w:rFonts w:ascii="宋体" w:hAnsi="宋体" w:cs="宋体"/>
          <w:sz w:val="24"/>
        </w:rPr>
      </w:pPr>
      <w:r>
        <w:rPr>
          <w:rFonts w:hint="eastAsia" w:ascii="宋体" w:hAnsi="宋体" w:cs="宋体"/>
          <w:sz w:val="24"/>
        </w:rPr>
        <w:t>2.“甲方”系指征集人。甲方不作为协议一方具体参加合同的实际履行。在实际履行中由采购人与乙方另行签订具体合同。</w:t>
      </w:r>
    </w:p>
    <w:p>
      <w:pPr>
        <w:snapToGrid w:val="0"/>
        <w:spacing w:line="460" w:lineRule="exact"/>
        <w:ind w:firstLine="480" w:firstLineChars="200"/>
        <w:rPr>
          <w:rFonts w:ascii="宋体" w:hAnsi="宋体" w:cs="宋体"/>
          <w:sz w:val="24"/>
        </w:rPr>
      </w:pPr>
      <w:r>
        <w:rPr>
          <w:rFonts w:hint="eastAsia" w:ascii="宋体" w:hAnsi="宋体" w:cs="宋体"/>
          <w:sz w:val="24"/>
        </w:rPr>
        <w:t>3.“乙方”系指本次入围供应商。</w:t>
      </w:r>
    </w:p>
    <w:p>
      <w:pPr>
        <w:snapToGrid w:val="0"/>
        <w:spacing w:line="460" w:lineRule="exact"/>
        <w:ind w:firstLine="480" w:firstLineChars="200"/>
        <w:rPr>
          <w:rFonts w:ascii="宋体" w:hAnsi="宋体" w:cs="宋体"/>
          <w:sz w:val="24"/>
        </w:rPr>
      </w:pPr>
      <w:r>
        <w:rPr>
          <w:rFonts w:hint="eastAsia" w:ascii="宋体" w:hAnsi="宋体" w:cs="宋体"/>
          <w:sz w:val="24"/>
        </w:rPr>
        <w:t>4.“采购人”系指浦江县各级国家机关、事业单位和团体组织，与甲方享有同等权力。本协议下述各处所指甲方同时包含采购人。</w:t>
      </w:r>
    </w:p>
    <w:p>
      <w:pPr>
        <w:snapToGrid w:val="0"/>
        <w:spacing w:line="460" w:lineRule="exact"/>
        <w:ind w:firstLine="480" w:firstLineChars="200"/>
        <w:rPr>
          <w:rFonts w:ascii="宋体" w:hAnsi="宋体" w:cs="宋体"/>
          <w:sz w:val="24"/>
        </w:rPr>
      </w:pPr>
      <w:r>
        <w:rPr>
          <w:rFonts w:hint="eastAsia" w:ascii="宋体" w:hAnsi="宋体" w:cs="宋体"/>
          <w:sz w:val="24"/>
        </w:rPr>
        <w:t>5.“征集文件”是指“2024-2026年度浦江县政府投资项目审核服务第三方机构封闭式框架协议采购项目”征集文件。</w:t>
      </w:r>
    </w:p>
    <w:p>
      <w:pPr>
        <w:pStyle w:val="10"/>
        <w:ind w:firstLine="482"/>
        <w:rPr>
          <w:b/>
        </w:rPr>
      </w:pPr>
      <w:r>
        <w:rPr>
          <w:rFonts w:hint="eastAsia"/>
          <w:b/>
        </w:rPr>
        <w:t>二、采购需求以及最高限制单价</w:t>
      </w:r>
    </w:p>
    <w:p>
      <w:pPr>
        <w:snapToGrid w:val="0"/>
        <w:spacing w:line="460" w:lineRule="exact"/>
        <w:ind w:firstLine="480" w:firstLineChars="200"/>
        <w:rPr>
          <w:rFonts w:ascii="宋体" w:hAnsi="宋体" w:cs="宋体"/>
          <w:sz w:val="24"/>
        </w:rPr>
      </w:pPr>
      <w:r>
        <w:rPr>
          <w:rFonts w:hint="eastAsia" w:ascii="宋体" w:hAnsi="宋体" w:cs="宋体"/>
          <w:sz w:val="24"/>
        </w:rPr>
        <w:t>详见征集文件。</w:t>
      </w:r>
    </w:p>
    <w:p>
      <w:pPr>
        <w:pStyle w:val="10"/>
        <w:ind w:firstLine="482"/>
        <w:rPr>
          <w:b/>
        </w:rPr>
      </w:pPr>
      <w:r>
        <w:rPr>
          <w:rFonts w:hint="eastAsia"/>
          <w:b/>
        </w:rPr>
        <w:t>三、服务内容、服务标准</w:t>
      </w:r>
    </w:p>
    <w:p>
      <w:pPr>
        <w:adjustRightInd w:val="0"/>
        <w:snapToGrid w:val="0"/>
        <w:spacing w:line="440" w:lineRule="exact"/>
        <w:ind w:firstLine="426" w:firstLineChars="177"/>
        <w:rPr>
          <w:rFonts w:ascii="宋体" w:hAnsi="宋体" w:cs="宋体"/>
          <w:b/>
          <w:sz w:val="24"/>
        </w:rPr>
      </w:pPr>
      <w:r>
        <w:rPr>
          <w:rFonts w:hint="eastAsia" w:ascii="宋体" w:hAnsi="宋体" w:cs="宋体"/>
          <w:b/>
          <w:sz w:val="24"/>
        </w:rPr>
        <w:t>（一）服务内容</w:t>
      </w:r>
    </w:p>
    <w:p>
      <w:pPr>
        <w:adjustRightInd w:val="0"/>
        <w:snapToGrid w:val="0"/>
        <w:spacing w:line="440" w:lineRule="exact"/>
        <w:ind w:firstLine="424" w:firstLineChars="177"/>
        <w:rPr>
          <w:rFonts w:ascii="宋体" w:hAnsi="宋体" w:cs="宋体"/>
          <w:sz w:val="24"/>
        </w:rPr>
      </w:pPr>
      <w:r>
        <w:rPr>
          <w:rFonts w:hint="eastAsia" w:ascii="宋体" w:hAnsi="宋体" w:cs="宋体"/>
          <w:sz w:val="24"/>
        </w:rPr>
        <w:t>1.政府投资项目工程概预算（含工程量清单）审核；</w:t>
      </w:r>
    </w:p>
    <w:p>
      <w:pPr>
        <w:adjustRightInd w:val="0"/>
        <w:snapToGrid w:val="0"/>
        <w:spacing w:line="440" w:lineRule="exact"/>
        <w:ind w:firstLine="424" w:firstLineChars="177"/>
        <w:rPr>
          <w:rFonts w:ascii="宋体" w:hAnsi="宋体" w:cs="宋体"/>
          <w:sz w:val="24"/>
        </w:rPr>
      </w:pPr>
      <w:r>
        <w:rPr>
          <w:rFonts w:hint="eastAsia" w:ascii="宋体" w:hAnsi="宋体" w:cs="宋体"/>
          <w:sz w:val="24"/>
        </w:rPr>
        <w:t>2.政府投资项目工程结算审核；</w:t>
      </w:r>
    </w:p>
    <w:p>
      <w:pPr>
        <w:adjustRightInd w:val="0"/>
        <w:snapToGrid w:val="0"/>
        <w:spacing w:line="440" w:lineRule="exact"/>
        <w:ind w:firstLine="424" w:firstLineChars="177"/>
        <w:rPr>
          <w:rFonts w:ascii="宋体" w:hAnsi="宋体" w:cs="宋体"/>
          <w:sz w:val="24"/>
        </w:rPr>
      </w:pPr>
      <w:r>
        <w:rPr>
          <w:rFonts w:hint="eastAsia" w:ascii="宋体" w:hAnsi="宋体" w:cs="宋体"/>
          <w:sz w:val="24"/>
        </w:rPr>
        <w:t>3.其他由甲方组织委托的审核任务。具体内容根据甲方具体要求确定。</w:t>
      </w:r>
    </w:p>
    <w:p>
      <w:pPr>
        <w:adjustRightInd w:val="0"/>
        <w:snapToGrid w:val="0"/>
        <w:spacing w:line="440" w:lineRule="exact"/>
        <w:ind w:firstLine="426" w:firstLineChars="177"/>
        <w:rPr>
          <w:rFonts w:ascii="宋体" w:hAnsi="宋体" w:cs="宋体"/>
          <w:b/>
          <w:sz w:val="24"/>
        </w:rPr>
      </w:pPr>
      <w:r>
        <w:rPr>
          <w:rFonts w:hint="eastAsia" w:ascii="宋体" w:hAnsi="宋体" w:cs="宋体"/>
          <w:b/>
          <w:sz w:val="24"/>
        </w:rPr>
        <w:t>（二）服务标准</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乙方依据本项目征集文件各项要求和规定、采购人相关委托要求、与本项目相关的法律法规、规范性文件、行业标准等提供相应服务，并做到以下要求：</w:t>
      </w:r>
    </w:p>
    <w:p>
      <w:pPr>
        <w:adjustRightInd w:val="0"/>
        <w:snapToGrid w:val="0"/>
        <w:spacing w:line="440" w:lineRule="exact"/>
        <w:ind w:firstLine="480" w:firstLineChars="200"/>
        <w:rPr>
          <w:rFonts w:ascii="宋体" w:hAnsi="Courier New" w:eastAsia="宋体" w:cs="Times New Roman"/>
          <w:sz w:val="24"/>
          <w:szCs w:val="24"/>
        </w:rPr>
      </w:pPr>
      <w:r>
        <w:rPr>
          <w:rFonts w:hint="eastAsia" w:ascii="宋体" w:hAnsi="Courier New" w:eastAsia="宋体" w:cs="Times New Roman"/>
          <w:sz w:val="24"/>
          <w:szCs w:val="24"/>
        </w:rPr>
        <w:t>1.自觉遵守有关规定，严格执行服务要求、廉政纪律和职业道德，保守相关资料数据的秘密。</w:t>
      </w:r>
    </w:p>
    <w:p>
      <w:pPr>
        <w:adjustRightInd w:val="0"/>
        <w:snapToGrid w:val="0"/>
        <w:spacing w:line="440" w:lineRule="exact"/>
        <w:ind w:firstLine="480" w:firstLineChars="200"/>
        <w:rPr>
          <w:rFonts w:ascii="宋体" w:hAnsi="Courier New" w:eastAsia="宋体" w:cs="Times New Roman"/>
          <w:sz w:val="24"/>
          <w:szCs w:val="24"/>
        </w:rPr>
      </w:pPr>
      <w:r>
        <w:rPr>
          <w:rFonts w:hint="eastAsia" w:ascii="宋体" w:hAnsi="Courier New" w:eastAsia="宋体" w:cs="Times New Roman"/>
          <w:sz w:val="24"/>
          <w:szCs w:val="24"/>
        </w:rPr>
        <w:t>2.严格按照采购人的有关规定和要求实施服务，接受采购人的指导、监督和管理，同时按采购人的质量和进度要求及时提供结果以及与服务事项相关的资料。按采购人规定的格式、要求起草有关文书和其他材料。</w:t>
      </w:r>
    </w:p>
    <w:p>
      <w:pPr>
        <w:adjustRightInd w:val="0"/>
        <w:snapToGrid w:val="0"/>
        <w:spacing w:line="440" w:lineRule="exact"/>
        <w:ind w:firstLine="480" w:firstLineChars="200"/>
        <w:rPr>
          <w:rFonts w:ascii="宋体" w:hAnsi="Courier New" w:eastAsia="宋体" w:cs="Times New Roman"/>
          <w:sz w:val="24"/>
          <w:szCs w:val="24"/>
        </w:rPr>
      </w:pPr>
      <w:r>
        <w:rPr>
          <w:rFonts w:hint="eastAsia" w:ascii="宋体" w:hAnsi="Courier New" w:eastAsia="宋体" w:cs="Times New Roman"/>
          <w:sz w:val="24"/>
          <w:szCs w:val="24"/>
        </w:rPr>
        <w:t>3.不得将承接的业务对外转包，不得以任何借口违反独立操作相关准则和质量控制准则，降低执业质量，并同意对承担相关业务的质量向社会公示；</w:t>
      </w:r>
    </w:p>
    <w:p>
      <w:pPr>
        <w:adjustRightInd w:val="0"/>
        <w:snapToGrid w:val="0"/>
        <w:spacing w:line="440" w:lineRule="exact"/>
        <w:ind w:firstLine="480" w:firstLineChars="200"/>
        <w:rPr>
          <w:rFonts w:ascii="宋体" w:hAnsi="Courier New" w:eastAsia="宋体" w:cs="Times New Roman"/>
          <w:sz w:val="24"/>
          <w:szCs w:val="24"/>
        </w:rPr>
      </w:pPr>
      <w:r>
        <w:rPr>
          <w:rFonts w:hint="eastAsia" w:ascii="宋体" w:hAnsi="Courier New" w:eastAsia="宋体" w:cs="Times New Roman"/>
          <w:sz w:val="24"/>
          <w:szCs w:val="24"/>
        </w:rPr>
        <w:t>4.乙方一般应在《浦江县政府（国有资本）投资项目委托工程造价咨询企业审核管理办法》（浦财审【2022】1号）规定的审核时间内向采购人提交完整的书面审核成果（根据项目实际情况，以采购人委托书规定的时间为准）。无故拖延审核时间或不配合采购人管理，影响审核质效的，采购人有权终止服务协议并按规定另行处理；</w:t>
      </w:r>
    </w:p>
    <w:p>
      <w:pPr>
        <w:adjustRightInd w:val="0"/>
        <w:snapToGrid w:val="0"/>
        <w:spacing w:line="440" w:lineRule="exact"/>
        <w:ind w:firstLine="480" w:firstLineChars="200"/>
        <w:rPr>
          <w:rFonts w:ascii="宋体" w:hAnsi="Courier New" w:eastAsia="宋体" w:cs="Times New Roman"/>
          <w:sz w:val="24"/>
          <w:szCs w:val="24"/>
        </w:rPr>
      </w:pPr>
      <w:r>
        <w:rPr>
          <w:rFonts w:hint="eastAsia" w:ascii="宋体" w:hAnsi="Courier New" w:eastAsia="宋体" w:cs="Times New Roman"/>
          <w:sz w:val="24"/>
          <w:szCs w:val="24"/>
        </w:rPr>
        <w:t>5.愿意接受相关部门对项目质量的审查考核；</w:t>
      </w:r>
    </w:p>
    <w:p>
      <w:pPr>
        <w:adjustRightInd w:val="0"/>
        <w:snapToGrid w:val="0"/>
        <w:spacing w:line="440" w:lineRule="exact"/>
        <w:ind w:firstLine="480" w:firstLineChars="200"/>
        <w:rPr>
          <w:rFonts w:ascii="宋体" w:hAnsi="Courier New" w:eastAsia="宋体" w:cs="Times New Roman"/>
          <w:sz w:val="24"/>
          <w:szCs w:val="24"/>
        </w:rPr>
      </w:pPr>
      <w:r>
        <w:rPr>
          <w:rFonts w:hint="eastAsia" w:ascii="宋体" w:hAnsi="Courier New" w:eastAsia="宋体" w:cs="Times New Roman"/>
          <w:sz w:val="24"/>
          <w:szCs w:val="24"/>
        </w:rPr>
        <w:t>6.征集文件中规定的其他要求。</w:t>
      </w:r>
    </w:p>
    <w:p>
      <w:pPr>
        <w:pStyle w:val="10"/>
        <w:ind w:firstLine="482"/>
        <w:rPr>
          <w:b/>
        </w:rPr>
      </w:pPr>
      <w:r>
        <w:rPr>
          <w:rFonts w:hint="eastAsia"/>
          <w:b/>
        </w:rPr>
        <w:t>四、协议价格</w:t>
      </w:r>
    </w:p>
    <w:p>
      <w:pPr>
        <w:snapToGrid w:val="0"/>
        <w:spacing w:line="460" w:lineRule="exact"/>
        <w:ind w:firstLine="480" w:firstLineChars="200"/>
        <w:rPr>
          <w:rFonts w:ascii="宋体" w:hAnsi="宋体" w:cs="宋体"/>
          <w:sz w:val="24"/>
        </w:rPr>
      </w:pPr>
      <w:r>
        <w:rPr>
          <w:rFonts w:hint="eastAsia" w:ascii="宋体" w:hAnsi="宋体" w:cs="宋体"/>
          <w:sz w:val="24"/>
        </w:rPr>
        <w:t>乙方承诺在此基础上给予折扣率</w:t>
      </w:r>
      <w:r>
        <w:rPr>
          <w:rFonts w:hint="eastAsia" w:ascii="宋体" w:hAnsi="宋体" w:cs="宋体"/>
          <w:sz w:val="24"/>
          <w:u w:val="single"/>
        </w:rPr>
        <w:t xml:space="preserve">    </w:t>
      </w:r>
      <w:r>
        <w:rPr>
          <w:rFonts w:hint="eastAsia" w:ascii="宋体" w:hAnsi="宋体" w:cs="宋体"/>
          <w:sz w:val="24"/>
        </w:rPr>
        <w:t>%。</w:t>
      </w:r>
    </w:p>
    <w:p>
      <w:pPr>
        <w:pStyle w:val="10"/>
        <w:ind w:firstLine="482"/>
        <w:rPr>
          <w:rFonts w:ascii="微软雅黑" w:hAnsi="微软雅黑" w:eastAsia="微软雅黑"/>
          <w:b/>
          <w:shd w:val="clear" w:color="auto" w:fill="FFFFFF"/>
        </w:rPr>
      </w:pPr>
      <w:r>
        <w:rPr>
          <w:rFonts w:hint="eastAsia"/>
          <w:b/>
        </w:rPr>
        <w:t>五、入围产品升级换代规则</w:t>
      </w:r>
    </w:p>
    <w:p>
      <w:pPr>
        <w:pStyle w:val="10"/>
      </w:pPr>
      <w:r>
        <w:rPr>
          <w:rFonts w:hint="eastAsia"/>
        </w:rPr>
        <w:t>协议期内，如有新的政策规定出台的（如行业标准、收费标准等），甲乙双方应当按新的政策规定执行协议。</w:t>
      </w:r>
    </w:p>
    <w:p>
      <w:pPr>
        <w:pStyle w:val="10"/>
        <w:ind w:firstLine="482"/>
        <w:rPr>
          <w:b/>
        </w:rPr>
      </w:pPr>
      <w:r>
        <w:rPr>
          <w:rFonts w:hint="eastAsia"/>
          <w:b/>
        </w:rPr>
        <w:t>六、确定第二阶段成交供应商的方式</w:t>
      </w:r>
    </w:p>
    <w:p>
      <w:pPr>
        <w:pStyle w:val="10"/>
      </w:pPr>
      <w:r>
        <w:rPr>
          <w:rFonts w:hint="eastAsia"/>
        </w:rPr>
        <w:t>本次框架协议第二阶段成交供应商的确定方式为直接选定。采购人依据入围产品价格、质量及服务便利性、用户评价等因素，按照浦财审【2022】1号或后续修改（补充）文件，从乙方中直接选定，并授予合同。乙方应在两个工作日内接受合同授予，无正当理由不得拒绝。本框架协议不作为甲方选择乙方作为第二阶段具体服务对象的承诺。</w:t>
      </w:r>
    </w:p>
    <w:p>
      <w:pPr>
        <w:pStyle w:val="10"/>
        <w:ind w:firstLine="482"/>
        <w:rPr>
          <w:b/>
          <w:shd w:val="clear" w:color="auto" w:fill="FFFFFF"/>
        </w:rPr>
      </w:pPr>
      <w:r>
        <w:rPr>
          <w:rFonts w:hint="eastAsia"/>
          <w:b/>
          <w:shd w:val="clear" w:color="auto" w:fill="FFFFFF"/>
        </w:rPr>
        <w:t>七、适用框架协议的采购人以及履行合同的地域范围</w:t>
      </w:r>
    </w:p>
    <w:p>
      <w:pPr>
        <w:adjustRightInd w:val="0"/>
        <w:snapToGrid w:val="0"/>
        <w:spacing w:line="440" w:lineRule="exact"/>
        <w:ind w:firstLine="424" w:firstLineChars="177"/>
        <w:rPr>
          <w:rFonts w:ascii="宋体" w:hAnsi="宋体" w:cs="宋体"/>
          <w:sz w:val="24"/>
        </w:rPr>
      </w:pPr>
      <w:r>
        <w:rPr>
          <w:rFonts w:hint="eastAsia" w:ascii="宋体" w:hAnsi="宋体" w:cs="宋体"/>
          <w:sz w:val="24"/>
        </w:rPr>
        <w:t>1.使用框架协议的采购人：</w:t>
      </w:r>
      <w:r>
        <w:rPr>
          <w:rFonts w:hint="eastAsia" w:ascii="宋体" w:hAnsi="Courier New" w:eastAsia="宋体" w:cs="Times New Roman"/>
          <w:sz w:val="24"/>
          <w:szCs w:val="24"/>
          <w:shd w:val="clear" w:color="auto" w:fill="FFFFFF"/>
        </w:rPr>
        <w:t>浦江县财政项目预算审核中心。</w:t>
      </w:r>
    </w:p>
    <w:p>
      <w:pPr>
        <w:adjustRightInd w:val="0"/>
        <w:snapToGrid w:val="0"/>
        <w:spacing w:line="440" w:lineRule="exact"/>
        <w:ind w:firstLine="424" w:firstLineChars="177"/>
        <w:rPr>
          <w:rFonts w:ascii="宋体" w:hAnsi="宋体" w:cs="宋体"/>
          <w:sz w:val="24"/>
        </w:rPr>
      </w:pPr>
      <w:r>
        <w:rPr>
          <w:rFonts w:hint="eastAsia" w:ascii="宋体" w:hAnsi="宋体" w:cs="宋体"/>
          <w:sz w:val="24"/>
        </w:rPr>
        <w:t>2.履行合同的地域范围：浦江县。</w:t>
      </w:r>
    </w:p>
    <w:p>
      <w:pPr>
        <w:pStyle w:val="10"/>
        <w:ind w:firstLine="482"/>
        <w:rPr>
          <w:b/>
          <w:shd w:val="clear" w:color="auto" w:fill="FFFFFF"/>
        </w:rPr>
      </w:pPr>
      <w:r>
        <w:rPr>
          <w:rFonts w:hint="eastAsia"/>
          <w:b/>
          <w:shd w:val="clear" w:color="auto" w:fill="FFFFFF"/>
        </w:rPr>
        <w:t>八、资金支付方式、时间和条件</w:t>
      </w:r>
    </w:p>
    <w:p>
      <w:pPr>
        <w:adjustRightInd w:val="0"/>
        <w:snapToGrid w:val="0"/>
        <w:spacing w:line="440" w:lineRule="exact"/>
        <w:ind w:firstLine="424" w:firstLineChars="177"/>
        <w:rPr>
          <w:rFonts w:ascii="宋体" w:hAnsi="宋体" w:cs="宋体"/>
          <w:sz w:val="24"/>
        </w:rPr>
      </w:pPr>
      <w:r>
        <w:rPr>
          <w:rFonts w:hint="eastAsia" w:ascii="宋体" w:hAnsi="宋体" w:cs="宋体"/>
          <w:sz w:val="24"/>
        </w:rPr>
        <w:t>1.本合同约定的审核费用按照表一：结合乙方的成交折扣率计取（每件咨询服务计费不足2000元的，按2000元收费）。</w:t>
      </w:r>
    </w:p>
    <w:p>
      <w:pPr>
        <w:adjustRightInd w:val="0"/>
        <w:snapToGrid w:val="0"/>
        <w:spacing w:line="440" w:lineRule="exact"/>
        <w:ind w:firstLine="424" w:firstLineChars="177"/>
        <w:rPr>
          <w:rFonts w:ascii="宋体" w:hAnsi="宋体" w:cs="宋体"/>
          <w:sz w:val="24"/>
        </w:rPr>
      </w:pPr>
      <w:r>
        <w:rPr>
          <w:rFonts w:hint="eastAsia" w:ascii="宋体" w:hAnsi="宋体" w:cs="宋体"/>
          <w:sz w:val="24"/>
        </w:rPr>
        <w:t>2.如遇国家政策调整，审核费另行确定。</w:t>
      </w:r>
    </w:p>
    <w:p>
      <w:pPr>
        <w:adjustRightInd w:val="0"/>
        <w:snapToGrid w:val="0"/>
        <w:spacing w:line="440" w:lineRule="exact"/>
        <w:ind w:firstLine="424" w:firstLineChars="177"/>
        <w:rPr>
          <w:rFonts w:ascii="宋体" w:hAnsi="宋体" w:cs="宋体"/>
          <w:sz w:val="24"/>
        </w:rPr>
      </w:pPr>
      <w:r>
        <w:rPr>
          <w:rFonts w:hint="eastAsia" w:ascii="宋体" w:hAnsi="宋体" w:cs="宋体"/>
          <w:sz w:val="24"/>
        </w:rPr>
        <w:t>（表一）工程造价咨询服务费用计算标准</w:t>
      </w:r>
      <w:r>
        <w:rPr>
          <w:rFonts w:hint="eastAsia" w:ascii="宋体" w:hAnsi="宋体" w:cs="宋体"/>
          <w:sz w:val="24"/>
        </w:rPr>
        <w:cr/>
      </w:r>
    </w:p>
    <w:tbl>
      <w:tblPr>
        <w:tblStyle w:val="19"/>
        <w:tblpPr w:leftFromText="180" w:rightFromText="180" w:vertAnchor="text" w:horzAnchor="page" w:tblpX="829" w:tblpY="291"/>
        <w:tblOverlap w:val="never"/>
        <w:tblW w:w="10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5"/>
        <w:gridCol w:w="1442"/>
        <w:gridCol w:w="1150"/>
        <w:gridCol w:w="883"/>
        <w:gridCol w:w="1025"/>
        <w:gridCol w:w="1117"/>
        <w:gridCol w:w="1220"/>
        <w:gridCol w:w="1150"/>
        <w:gridCol w:w="1260"/>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5" w:type="dxa"/>
            <w:vMerge w:val="restart"/>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序号</w:t>
            </w:r>
          </w:p>
        </w:tc>
        <w:tc>
          <w:tcPr>
            <w:tcW w:w="1442" w:type="dxa"/>
            <w:vMerge w:val="restart"/>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咨询项目</w:t>
            </w:r>
          </w:p>
        </w:tc>
        <w:tc>
          <w:tcPr>
            <w:tcW w:w="1150" w:type="dxa"/>
            <w:vMerge w:val="restart"/>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收费基数</w:t>
            </w:r>
          </w:p>
        </w:tc>
        <w:tc>
          <w:tcPr>
            <w:tcW w:w="7674" w:type="dxa"/>
            <w:gridSpan w:val="7"/>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分档累进计费标准                 （费率‰）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315" w:type="dxa"/>
            <w:vMerge w:val="continue"/>
            <w:shd w:val="clear" w:color="auto" w:fill="auto"/>
            <w:tcMar>
              <w:top w:w="12" w:type="dxa"/>
              <w:left w:w="12" w:type="dxa"/>
              <w:right w:w="12" w:type="dxa"/>
            </w:tcMar>
            <w:vAlign w:val="center"/>
          </w:tcPr>
          <w:p>
            <w:pPr>
              <w:spacing w:line="360" w:lineRule="auto"/>
              <w:jc w:val="center"/>
              <w:rPr>
                <w:rFonts w:ascii="宋体" w:hAnsi="Courier New" w:eastAsia="宋体" w:cs="Times New Roman"/>
                <w:sz w:val="24"/>
                <w:szCs w:val="24"/>
              </w:rPr>
            </w:pPr>
          </w:p>
        </w:tc>
        <w:tc>
          <w:tcPr>
            <w:tcW w:w="1442" w:type="dxa"/>
            <w:vMerge w:val="continue"/>
            <w:shd w:val="clear" w:color="auto" w:fill="auto"/>
            <w:tcMar>
              <w:top w:w="12" w:type="dxa"/>
              <w:left w:w="12" w:type="dxa"/>
              <w:right w:w="12" w:type="dxa"/>
            </w:tcMar>
            <w:vAlign w:val="center"/>
          </w:tcPr>
          <w:p>
            <w:pPr>
              <w:spacing w:line="360" w:lineRule="auto"/>
              <w:jc w:val="center"/>
              <w:rPr>
                <w:rFonts w:ascii="宋体" w:hAnsi="Courier New" w:eastAsia="宋体" w:cs="Times New Roman"/>
                <w:sz w:val="24"/>
                <w:szCs w:val="24"/>
              </w:rPr>
            </w:pPr>
          </w:p>
        </w:tc>
        <w:tc>
          <w:tcPr>
            <w:tcW w:w="1150" w:type="dxa"/>
            <w:vMerge w:val="continue"/>
            <w:shd w:val="clear" w:color="auto" w:fill="auto"/>
            <w:tcMar>
              <w:top w:w="12" w:type="dxa"/>
              <w:left w:w="12" w:type="dxa"/>
              <w:right w:w="12" w:type="dxa"/>
            </w:tcMar>
            <w:vAlign w:val="center"/>
          </w:tcPr>
          <w:p>
            <w:pPr>
              <w:spacing w:line="360" w:lineRule="auto"/>
              <w:jc w:val="center"/>
              <w:rPr>
                <w:rFonts w:ascii="宋体" w:hAnsi="Courier New" w:eastAsia="宋体" w:cs="Times New Roman"/>
                <w:sz w:val="24"/>
                <w:szCs w:val="24"/>
              </w:rPr>
            </w:pPr>
          </w:p>
        </w:tc>
        <w:tc>
          <w:tcPr>
            <w:tcW w:w="883"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100万元以内</w:t>
            </w:r>
          </w:p>
        </w:tc>
        <w:tc>
          <w:tcPr>
            <w:tcW w:w="1025"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101万-500万元</w:t>
            </w:r>
          </w:p>
        </w:tc>
        <w:tc>
          <w:tcPr>
            <w:tcW w:w="1117"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501万-1000万元</w:t>
            </w:r>
          </w:p>
        </w:tc>
        <w:tc>
          <w:tcPr>
            <w:tcW w:w="122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1001万-2000万元</w:t>
            </w:r>
          </w:p>
        </w:tc>
        <w:tc>
          <w:tcPr>
            <w:tcW w:w="115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2001万-5000万元</w:t>
            </w:r>
          </w:p>
        </w:tc>
        <w:tc>
          <w:tcPr>
            <w:tcW w:w="126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5001万-10000万元</w:t>
            </w:r>
          </w:p>
        </w:tc>
        <w:tc>
          <w:tcPr>
            <w:tcW w:w="1019"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10000万元以上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trPr>
        <w:tc>
          <w:tcPr>
            <w:tcW w:w="315"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w:t>
            </w:r>
          </w:p>
        </w:tc>
        <w:tc>
          <w:tcPr>
            <w:tcW w:w="1442"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概算审核（抽查）</w:t>
            </w:r>
          </w:p>
        </w:tc>
        <w:tc>
          <w:tcPr>
            <w:tcW w:w="115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送审造价</w:t>
            </w:r>
          </w:p>
        </w:tc>
        <w:tc>
          <w:tcPr>
            <w:tcW w:w="883"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1.7</w:t>
            </w:r>
          </w:p>
        </w:tc>
        <w:tc>
          <w:tcPr>
            <w:tcW w:w="1025"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1.5</w:t>
            </w:r>
          </w:p>
        </w:tc>
        <w:tc>
          <w:tcPr>
            <w:tcW w:w="1117"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1.3</w:t>
            </w:r>
          </w:p>
        </w:tc>
        <w:tc>
          <w:tcPr>
            <w:tcW w:w="122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1.1</w:t>
            </w:r>
          </w:p>
        </w:tc>
        <w:tc>
          <w:tcPr>
            <w:tcW w:w="115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1.0</w:t>
            </w:r>
          </w:p>
        </w:tc>
        <w:tc>
          <w:tcPr>
            <w:tcW w:w="126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0.9</w:t>
            </w:r>
          </w:p>
        </w:tc>
        <w:tc>
          <w:tcPr>
            <w:tcW w:w="1019"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0" w:hRule="atLeast"/>
        </w:trPr>
        <w:tc>
          <w:tcPr>
            <w:tcW w:w="315"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2</w:t>
            </w:r>
          </w:p>
        </w:tc>
        <w:tc>
          <w:tcPr>
            <w:tcW w:w="1442"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预算或招标控制价（含工程量清单）的审核（抽查）</w:t>
            </w:r>
          </w:p>
        </w:tc>
        <w:tc>
          <w:tcPr>
            <w:tcW w:w="115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送审造价</w:t>
            </w:r>
          </w:p>
        </w:tc>
        <w:tc>
          <w:tcPr>
            <w:tcW w:w="883"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2.88</w:t>
            </w:r>
          </w:p>
        </w:tc>
        <w:tc>
          <w:tcPr>
            <w:tcW w:w="1025"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2.64</w:t>
            </w:r>
          </w:p>
        </w:tc>
        <w:tc>
          <w:tcPr>
            <w:tcW w:w="1117"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2.4</w:t>
            </w:r>
          </w:p>
        </w:tc>
        <w:tc>
          <w:tcPr>
            <w:tcW w:w="122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2.16</w:t>
            </w:r>
          </w:p>
        </w:tc>
        <w:tc>
          <w:tcPr>
            <w:tcW w:w="115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1.92</w:t>
            </w:r>
          </w:p>
        </w:tc>
        <w:tc>
          <w:tcPr>
            <w:tcW w:w="126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1.68</w:t>
            </w:r>
          </w:p>
        </w:tc>
        <w:tc>
          <w:tcPr>
            <w:tcW w:w="1019"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315"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3</w:t>
            </w:r>
          </w:p>
        </w:tc>
        <w:tc>
          <w:tcPr>
            <w:tcW w:w="1442"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结算审核（抽查）</w:t>
            </w:r>
          </w:p>
        </w:tc>
        <w:tc>
          <w:tcPr>
            <w:tcW w:w="115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送审造价</w:t>
            </w:r>
          </w:p>
        </w:tc>
        <w:tc>
          <w:tcPr>
            <w:tcW w:w="883"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2.8</w:t>
            </w:r>
          </w:p>
        </w:tc>
        <w:tc>
          <w:tcPr>
            <w:tcW w:w="1025"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2.5</w:t>
            </w:r>
          </w:p>
        </w:tc>
        <w:tc>
          <w:tcPr>
            <w:tcW w:w="1117"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2.2</w:t>
            </w:r>
          </w:p>
        </w:tc>
        <w:tc>
          <w:tcPr>
            <w:tcW w:w="122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1.9</w:t>
            </w:r>
          </w:p>
        </w:tc>
        <w:tc>
          <w:tcPr>
            <w:tcW w:w="115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1.6</w:t>
            </w:r>
          </w:p>
        </w:tc>
        <w:tc>
          <w:tcPr>
            <w:tcW w:w="1260"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1.3</w:t>
            </w:r>
          </w:p>
        </w:tc>
        <w:tc>
          <w:tcPr>
            <w:tcW w:w="1019" w:type="dxa"/>
            <w:shd w:val="clear" w:color="auto" w:fill="auto"/>
            <w:tcMar>
              <w:top w:w="12" w:type="dxa"/>
              <w:left w:w="12" w:type="dxa"/>
              <w:right w:w="12" w:type="dxa"/>
            </w:tcMar>
            <w:vAlign w:val="center"/>
          </w:tcPr>
          <w:p>
            <w:pPr>
              <w:widowControl/>
              <w:spacing w:line="360" w:lineRule="auto"/>
              <w:jc w:val="center"/>
              <w:textAlignment w:val="center"/>
              <w:rPr>
                <w:rFonts w:ascii="宋体" w:hAnsi="Courier New" w:eastAsia="宋体" w:cs="Times New Roman"/>
                <w:sz w:val="24"/>
                <w:szCs w:val="24"/>
              </w:rPr>
            </w:pPr>
            <w:r>
              <w:rPr>
                <w:rFonts w:hint="eastAsia" w:ascii="宋体" w:hAnsi="Courier New" w:eastAsia="宋体" w:cs="Times New Roman"/>
                <w:sz w:val="24"/>
                <w:szCs w:val="24"/>
              </w:rPr>
              <w:t>1.0</w:t>
            </w:r>
          </w:p>
        </w:tc>
      </w:tr>
    </w:tbl>
    <w:p>
      <w:pPr>
        <w:adjustRightInd w:val="0"/>
        <w:snapToGrid w:val="0"/>
        <w:spacing w:line="440" w:lineRule="exact"/>
        <w:ind w:firstLine="424" w:firstLineChars="177"/>
        <w:rPr>
          <w:sz w:val="24"/>
        </w:rPr>
      </w:pPr>
      <w:r>
        <w:rPr>
          <w:rFonts w:hint="eastAsia"/>
          <w:sz w:val="24"/>
        </w:rPr>
        <w:t>注：⑴本咨询服务费已包含钢筋及预埋件的单独计算。</w:t>
      </w:r>
    </w:p>
    <w:p>
      <w:pPr>
        <w:adjustRightInd w:val="0"/>
        <w:snapToGrid w:val="0"/>
        <w:spacing w:line="440" w:lineRule="exact"/>
        <w:ind w:firstLine="424" w:firstLineChars="177"/>
        <w:rPr>
          <w:sz w:val="24"/>
        </w:rPr>
      </w:pPr>
      <w:r>
        <w:rPr>
          <w:rFonts w:hint="eastAsia"/>
          <w:sz w:val="24"/>
        </w:rPr>
        <w:t>⑵概算审核（抽查）仅按建安工程费作为收费基数。</w:t>
      </w:r>
    </w:p>
    <w:p>
      <w:pPr>
        <w:adjustRightInd w:val="0"/>
        <w:snapToGrid w:val="0"/>
        <w:spacing w:line="440" w:lineRule="exact"/>
        <w:ind w:firstLine="424" w:firstLineChars="177"/>
        <w:rPr>
          <w:sz w:val="24"/>
        </w:rPr>
      </w:pPr>
      <w:r>
        <w:rPr>
          <w:rFonts w:hint="eastAsia"/>
          <w:sz w:val="24"/>
        </w:rPr>
        <w:t>⑶审核费用按照浦财审【2022】1号或后续修改的文件经考核后每年集中支付2次。</w:t>
      </w:r>
    </w:p>
    <w:p>
      <w:pPr>
        <w:adjustRightInd w:val="0"/>
        <w:snapToGrid w:val="0"/>
        <w:spacing w:line="440" w:lineRule="exact"/>
        <w:ind w:firstLine="424" w:firstLineChars="177"/>
        <w:rPr>
          <w:sz w:val="24"/>
        </w:rPr>
      </w:pPr>
      <w:r>
        <w:rPr>
          <w:rFonts w:hint="eastAsia"/>
          <w:sz w:val="24"/>
        </w:rPr>
        <w:t>⑷本费用标准适用于房屋建筑和市政建设工程、水利工程、公路工程等。</w:t>
      </w:r>
    </w:p>
    <w:p>
      <w:pPr>
        <w:adjustRightInd w:val="0"/>
        <w:snapToGrid w:val="0"/>
        <w:spacing w:line="440" w:lineRule="exact"/>
        <w:ind w:firstLine="424" w:firstLineChars="177"/>
      </w:pPr>
      <w:r>
        <w:rPr>
          <w:rFonts w:hint="eastAsia"/>
          <w:sz w:val="24"/>
          <w:szCs w:val="24"/>
        </w:rPr>
        <w:t>（5）抽查审核的收费基数以一审造价为准。</w:t>
      </w:r>
    </w:p>
    <w:p>
      <w:pPr>
        <w:pStyle w:val="10"/>
      </w:pPr>
      <w:r>
        <w:rPr>
          <w:rFonts w:hint="eastAsia"/>
        </w:rPr>
        <w:t>3.结算审核追加费由施工单位承担，追加费的计算方法可参考《浙江省物价局关于进一步完善工程造价咨询服务收费的通知》（浙价服〔2009〕84号）文件，双方协商确认。</w:t>
      </w:r>
    </w:p>
    <w:p>
      <w:pPr>
        <w:pStyle w:val="10"/>
        <w:ind w:firstLine="482"/>
        <w:rPr>
          <w:b/>
          <w:shd w:val="clear" w:color="auto" w:fill="FFFFFF"/>
        </w:rPr>
      </w:pPr>
      <w:r>
        <w:rPr>
          <w:rFonts w:hint="eastAsia"/>
          <w:b/>
          <w:shd w:val="clear" w:color="auto" w:fill="FFFFFF"/>
        </w:rPr>
        <w:t>九、框架协议期限</w:t>
      </w:r>
    </w:p>
    <w:p>
      <w:pPr>
        <w:pStyle w:val="10"/>
      </w:pPr>
      <w:r>
        <w:rPr>
          <w:rFonts w:hint="eastAsia"/>
        </w:rPr>
        <w:t>2024年5月1日至2026年4月30日止。</w:t>
      </w:r>
    </w:p>
    <w:p>
      <w:pPr>
        <w:snapToGrid w:val="0"/>
        <w:spacing w:line="460" w:lineRule="exact"/>
        <w:ind w:firstLine="480" w:firstLineChars="200"/>
        <w:rPr>
          <w:rFonts w:ascii="微软雅黑" w:hAnsi="微软雅黑" w:eastAsia="微软雅黑"/>
          <w:shd w:val="clear" w:color="auto" w:fill="FFFFFF"/>
        </w:rPr>
      </w:pPr>
      <w:r>
        <w:rPr>
          <w:rFonts w:hint="eastAsia" w:ascii="宋体" w:hAnsi="宋体" w:eastAsia="宋体" w:cs="宋体"/>
          <w:sz w:val="24"/>
        </w:rPr>
        <w:t>协议期内，乙方应遵守本项目征集文件的要求，履行响应文件的承诺，及时向采购人提供优质产品和服务，</w:t>
      </w:r>
      <w:r>
        <w:rPr>
          <w:rFonts w:hint="eastAsia" w:ascii="宋体" w:hAnsi="宋体" w:cs="宋体"/>
          <w:sz w:val="24"/>
        </w:rPr>
        <w:t>不得提出本协议书内容之外的任何不利于采购人的附加条件。</w:t>
      </w:r>
    </w:p>
    <w:p>
      <w:pPr>
        <w:pStyle w:val="10"/>
        <w:ind w:firstLine="482"/>
        <w:rPr>
          <w:b/>
          <w:shd w:val="clear" w:color="auto" w:fill="FFFFFF"/>
        </w:rPr>
      </w:pPr>
      <w:r>
        <w:rPr>
          <w:rFonts w:hint="eastAsia"/>
          <w:b/>
          <w:shd w:val="clear" w:color="auto" w:fill="FFFFFF"/>
        </w:rPr>
        <w:t>十、入围供应商补充规则</w:t>
      </w:r>
    </w:p>
    <w:p>
      <w:pPr>
        <w:snapToGrid w:val="0"/>
        <w:spacing w:line="460" w:lineRule="exact"/>
        <w:ind w:firstLine="480" w:firstLineChars="200"/>
        <w:rPr>
          <w:rFonts w:ascii="宋体" w:hAnsi="宋体" w:eastAsia="宋体" w:cs="宋体"/>
          <w:sz w:val="24"/>
        </w:rPr>
      </w:pPr>
      <w:r>
        <w:rPr>
          <w:rFonts w:hint="eastAsia" w:ascii="宋体" w:hAnsi="宋体" w:eastAsia="宋体" w:cs="宋体"/>
          <w:sz w:val="24"/>
        </w:rPr>
        <w:t>框架协议有效期内如出现剩余入围供应商不足入围供应商总数70%且影响框架协议执行的情形，征集人将启动补充征集工作（协议期限：</w:t>
      </w:r>
      <w:r>
        <w:rPr>
          <w:rFonts w:hint="eastAsia"/>
          <w:sz w:val="24"/>
        </w:rPr>
        <w:t>2024年5月1日—2026年4月30日</w:t>
      </w:r>
      <w:r>
        <w:rPr>
          <w:rFonts w:hint="eastAsia" w:ascii="宋体" w:hAnsi="宋体" w:eastAsia="宋体" w:cs="宋体"/>
          <w:sz w:val="24"/>
        </w:rPr>
        <w:t>）。</w:t>
      </w:r>
    </w:p>
    <w:p>
      <w:pPr>
        <w:snapToGrid w:val="0"/>
        <w:spacing w:line="460" w:lineRule="exact"/>
        <w:ind w:firstLine="480" w:firstLineChars="200"/>
        <w:rPr>
          <w:rFonts w:ascii="宋体" w:hAnsi="宋体" w:eastAsia="宋体" w:cs="宋体"/>
          <w:sz w:val="24"/>
        </w:rPr>
      </w:pPr>
      <w:r>
        <w:rPr>
          <w:rFonts w:hint="eastAsia" w:ascii="宋体" w:hAnsi="宋体" w:eastAsia="宋体" w:cs="宋体"/>
          <w:sz w:val="24"/>
        </w:rPr>
        <w:t>1.补充征集的条件、程序、评审方法和淘汰比例与初次征集相同。</w:t>
      </w:r>
    </w:p>
    <w:p>
      <w:pPr>
        <w:snapToGrid w:val="0"/>
        <w:spacing w:line="460" w:lineRule="exact"/>
        <w:ind w:firstLine="480" w:firstLineChars="200"/>
        <w:rPr>
          <w:rFonts w:ascii="宋体" w:hAnsi="宋体" w:eastAsia="宋体" w:cs="宋体"/>
          <w:sz w:val="24"/>
        </w:rPr>
      </w:pPr>
      <w:r>
        <w:rPr>
          <w:rFonts w:hint="eastAsia" w:ascii="宋体" w:hAnsi="宋体" w:eastAsia="宋体" w:cs="宋体"/>
          <w:sz w:val="24"/>
        </w:rPr>
        <w:t>2.补充征集遵守原框架协议的有效期。</w:t>
      </w:r>
    </w:p>
    <w:p>
      <w:pPr>
        <w:snapToGrid w:val="0"/>
        <w:spacing w:line="460" w:lineRule="exact"/>
        <w:ind w:firstLine="480" w:firstLineChars="200"/>
        <w:rPr>
          <w:rFonts w:ascii="宋体" w:hAnsi="宋体" w:eastAsia="宋体" w:cs="宋体"/>
          <w:sz w:val="24"/>
        </w:rPr>
      </w:pPr>
      <w:r>
        <w:rPr>
          <w:rFonts w:hint="eastAsia" w:ascii="宋体" w:hAnsi="宋体" w:eastAsia="宋体" w:cs="宋体"/>
          <w:sz w:val="24"/>
        </w:rPr>
        <w:t>3.补充征集期间，原框架协议继续履行。</w:t>
      </w:r>
    </w:p>
    <w:p>
      <w:pPr>
        <w:pStyle w:val="10"/>
        <w:ind w:firstLine="482"/>
        <w:rPr>
          <w:b/>
          <w:shd w:val="clear" w:color="auto" w:fill="FFFFFF"/>
        </w:rPr>
      </w:pPr>
      <w:r>
        <w:rPr>
          <w:rFonts w:hint="eastAsia"/>
          <w:b/>
          <w:shd w:val="clear" w:color="auto" w:fill="FFFFFF"/>
        </w:rPr>
        <w:t>十一、协议方的权利和义务</w:t>
      </w:r>
    </w:p>
    <w:p>
      <w:pPr>
        <w:adjustRightInd w:val="0"/>
        <w:snapToGrid w:val="0"/>
        <w:spacing w:line="440" w:lineRule="exact"/>
        <w:ind w:firstLine="458" w:firstLineChars="190"/>
        <w:jc w:val="left"/>
        <w:rPr>
          <w:rFonts w:ascii="宋体" w:hAnsi="Courier New" w:eastAsia="宋体" w:cs="Times New Roman"/>
          <w:b/>
          <w:sz w:val="24"/>
          <w:szCs w:val="24"/>
        </w:rPr>
      </w:pPr>
      <w:r>
        <w:rPr>
          <w:rFonts w:hint="eastAsia" w:ascii="宋体" w:hAnsi="Courier New" w:eastAsia="宋体" w:cs="Times New Roman"/>
          <w:b/>
          <w:sz w:val="24"/>
          <w:szCs w:val="24"/>
        </w:rPr>
        <w:t>（一）甲方的职责和权利</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1.职责</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 xml:space="preserve">甲方应当根据框架协议约定，组织落实框架协议的履行，并履行下列职责： </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 xml:space="preserve">⑴为第二阶段合同授予提供工作便利； </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 xml:space="preserve">⑵对第二阶段最高限价和需求标准执行情况进行管理； </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 xml:space="preserve">⑶对第二阶段确定成交供应商情况进行管理；  </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 xml:space="preserve">⑷依托政采云平台建立用户反馈和评价机制，接受采购人对入围供应商履行框架协议和采购合同情况的反馈与评价，并将用户反馈和评价情况向采购人公开，作为第二阶段直接选定成交供应商的参考； </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 xml:space="preserve">⑸公开封闭式框架协议的第二阶段成交结果； </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⑹办理入围供应商清退和补充相关事宜。</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2.权利</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⑴甲方依据国家有关法规，行使对政府性投资建设项目的政府性资金项目委托审查业务的财政监督管理权，包括日常管理和事后复审监督。</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⑵甲方有权要求乙方更换不称职或应回避的人员。</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 xml:space="preserve">⑶甲方有权要求乙方提供书面的工程造价调整意见，出具工程造价审定通知书和审查报告书，对特殊事项要详细说明，基本格式要符合规范要求。 </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⑷甲方有权对乙方在审查过程中的过错予以纠正，并按规定予以适当的处罚。</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⑸甲方对入围的社会中介机构进行审查项目的质量、效率、服务等情况进行考核评价。</w:t>
      </w:r>
    </w:p>
    <w:p>
      <w:pPr>
        <w:adjustRightInd w:val="0"/>
        <w:snapToGrid w:val="0"/>
        <w:spacing w:line="440" w:lineRule="exact"/>
        <w:ind w:firstLine="482" w:firstLineChars="200"/>
        <w:rPr>
          <w:rFonts w:ascii="宋体" w:hAnsi="Courier New" w:eastAsia="宋体" w:cs="Times New Roman"/>
          <w:b/>
          <w:sz w:val="24"/>
          <w:szCs w:val="24"/>
        </w:rPr>
      </w:pPr>
      <w:r>
        <w:rPr>
          <w:rFonts w:hint="eastAsia" w:ascii="宋体" w:hAnsi="Courier New" w:eastAsia="宋体" w:cs="Times New Roman"/>
          <w:b/>
          <w:sz w:val="24"/>
          <w:szCs w:val="24"/>
        </w:rPr>
        <w:t>（二）乙方的权利和义务</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1.乙方可以要求委托人提供与委托内容有关的资料。</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2.乙方在审核服务期间，有到工程现场勘查和调查取证的权利。</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3.乙方可以要求委托人对有关问题作出解释和补充有关资料。</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4.乙方在审核过程中应遵守审核纪律、规范审核行为，严格按照造价咨询执业规范要求开展工作。</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5.乙方应严格按照甲方的有关规定和要求实施工程咨询服务，接受甲方的指导、监督和管理，同时按甲方的质量和进度要求及时提供审核结果以及审核事项相关的评审资料。按甲方规定的格式、要求起草有关评审文书和其他材料。</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6.在合同履行期间，乙方应按甲方要求开展工作，在工作中遵循公平、公正、公开、合法、独立的原则，认真、细致、周到地进行服务。</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7.审核资料移交给乙方后，乙方有义务对所有资料进行妥善保管，确保评审结束后完整移交送审资料。</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8.乙方对其审核质量终身负责。</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9.乙方应严格执行本项目征集文件、框架协议的各项规定以及甲方及相关监管部门已出台和今后出台的各项规定和管理办法，遵守电子系统的操作规定和交易规则，积极配合甲方和采购监管部门的工作。</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10.乙方在合同签订时确定审核人员名单，未经甲方批准不得随意更换审核人员。乙方对审核业务不得转包或分包，不得用未经批准的审核人员进行审核。</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11.受到取消服务资格和服务期满的乙方应无条件退回在审项目及相关资料。</w:t>
      </w:r>
    </w:p>
    <w:p>
      <w:pPr>
        <w:adjustRightInd w:val="0"/>
        <w:snapToGrid w:val="0"/>
        <w:spacing w:line="440" w:lineRule="exact"/>
        <w:ind w:firstLine="456" w:firstLineChars="190"/>
        <w:jc w:val="left"/>
        <w:rPr>
          <w:rFonts w:ascii="宋体" w:hAnsi="Courier New" w:eastAsia="宋体" w:cs="Times New Roman"/>
          <w:sz w:val="24"/>
          <w:szCs w:val="24"/>
        </w:rPr>
      </w:pPr>
      <w:r>
        <w:rPr>
          <w:rFonts w:hint="eastAsia" w:ascii="宋体" w:hAnsi="Courier New" w:eastAsia="宋体" w:cs="Times New Roman"/>
          <w:sz w:val="24"/>
          <w:szCs w:val="24"/>
        </w:rPr>
        <w:t>12.在协议期内，乙方如有信息变更（如变更法定代表人、主要负责人、联系人、联系电话、地址等），应及时在政采云系统中更新相关信息并通知甲方，按甲方要求提供相关资料备案。</w:t>
      </w:r>
    </w:p>
    <w:p>
      <w:pPr>
        <w:pStyle w:val="10"/>
        <w:ind w:firstLine="482"/>
        <w:rPr>
          <w:b/>
          <w:snapToGrid w:val="0"/>
        </w:rPr>
      </w:pPr>
      <w:r>
        <w:rPr>
          <w:rFonts w:hint="eastAsia"/>
          <w:b/>
          <w:snapToGrid w:val="0"/>
        </w:rPr>
        <w:t>十二、转包或分包</w:t>
      </w:r>
    </w:p>
    <w:p>
      <w:pPr>
        <w:pStyle w:val="10"/>
      </w:pPr>
      <w:r>
        <w:rPr>
          <w:rFonts w:hint="eastAsia"/>
        </w:rPr>
        <w:t>不允许转包和分包。如乙方将项目转包或分包，甲方有权解除合同，追究乙方的违约责任。</w:t>
      </w:r>
    </w:p>
    <w:p>
      <w:pPr>
        <w:pStyle w:val="10"/>
        <w:ind w:firstLine="482"/>
        <w:rPr>
          <w:b/>
          <w:snapToGrid w:val="0"/>
        </w:rPr>
      </w:pPr>
      <w:r>
        <w:rPr>
          <w:rFonts w:hint="eastAsia"/>
          <w:b/>
          <w:snapToGrid w:val="0"/>
        </w:rPr>
        <w:t>十三、履约延误</w:t>
      </w:r>
    </w:p>
    <w:p>
      <w:pPr>
        <w:snapToGrid w:val="0"/>
        <w:spacing w:line="460" w:lineRule="exact"/>
        <w:ind w:firstLine="480" w:firstLineChars="200"/>
        <w:rPr>
          <w:rFonts w:ascii="宋体" w:hAnsi="Courier New" w:eastAsia="宋体" w:cs="Times New Roman"/>
          <w:sz w:val="24"/>
          <w:szCs w:val="24"/>
        </w:rPr>
      </w:pPr>
      <w:r>
        <w:rPr>
          <w:rFonts w:hint="eastAsia" w:ascii="宋体" w:hAnsi="Courier New" w:eastAsia="宋体" w:cs="Times New Roman"/>
          <w:sz w:val="24"/>
          <w:szCs w:val="24"/>
        </w:rPr>
        <w:t>1.乙方提供服务。</w:t>
      </w:r>
    </w:p>
    <w:p>
      <w:pPr>
        <w:snapToGrid w:val="0"/>
        <w:spacing w:line="460" w:lineRule="exact"/>
        <w:ind w:right="17" w:firstLine="480" w:firstLineChars="200"/>
        <w:rPr>
          <w:rFonts w:ascii="宋体" w:hAnsi="Courier New" w:eastAsia="宋体" w:cs="Times New Roman"/>
          <w:sz w:val="24"/>
          <w:szCs w:val="24"/>
        </w:rPr>
      </w:pPr>
      <w:r>
        <w:rPr>
          <w:rFonts w:hint="eastAsia" w:ascii="宋体" w:hAnsi="Courier New" w:eastAsia="宋体" w:cs="Times New Roman"/>
          <w:sz w:val="24"/>
          <w:szCs w:val="24"/>
        </w:rPr>
        <w:t>2.在履行合同过程中，如果乙方遇到妨碍按时交货和提供服务的情况时，将及时将拖延的事实、可能拖延的期限和理由通知采购人，乙方承诺根据采购人意见，确定是否延长交货时间或取消本次采购。</w:t>
      </w:r>
    </w:p>
    <w:p>
      <w:pPr>
        <w:snapToGrid w:val="0"/>
        <w:spacing w:line="460" w:lineRule="exact"/>
        <w:ind w:right="17" w:firstLine="480" w:firstLineChars="200"/>
        <w:rPr>
          <w:rFonts w:ascii="宋体" w:hAnsi="Courier New" w:eastAsia="宋体" w:cs="Times New Roman"/>
          <w:sz w:val="24"/>
          <w:szCs w:val="24"/>
        </w:rPr>
      </w:pPr>
      <w:r>
        <w:rPr>
          <w:rFonts w:hint="eastAsia" w:ascii="宋体" w:hAnsi="Courier New" w:eastAsia="宋体" w:cs="Times New Roman"/>
          <w:sz w:val="24"/>
          <w:szCs w:val="24"/>
        </w:rPr>
        <w:t>3.如乙方无正当理由拖延服务实施，采购人有权追究乙方的违约责任。</w:t>
      </w:r>
    </w:p>
    <w:p>
      <w:pPr>
        <w:snapToGrid w:val="0"/>
        <w:spacing w:line="460" w:lineRule="exact"/>
        <w:ind w:right="17" w:firstLine="480" w:firstLineChars="200"/>
        <w:rPr>
          <w:rFonts w:ascii="宋体" w:hAnsi="Courier New" w:eastAsia="宋体" w:cs="Times New Roman"/>
          <w:sz w:val="24"/>
          <w:szCs w:val="24"/>
        </w:rPr>
      </w:pPr>
      <w:r>
        <w:rPr>
          <w:rFonts w:hint="eastAsia" w:ascii="宋体" w:hAnsi="Courier New" w:eastAsia="宋体" w:cs="Times New Roman"/>
          <w:sz w:val="24"/>
          <w:szCs w:val="24"/>
        </w:rPr>
        <w:t>4.如采购人需求错误或者无故不签收（不验收），乙方将及时向同级财政部门书面申请协调。</w:t>
      </w:r>
    </w:p>
    <w:p>
      <w:pPr>
        <w:pStyle w:val="10"/>
        <w:ind w:firstLine="482"/>
        <w:rPr>
          <w:b/>
          <w:snapToGrid w:val="0"/>
        </w:rPr>
      </w:pPr>
      <w:r>
        <w:rPr>
          <w:rFonts w:hint="eastAsia"/>
          <w:b/>
          <w:snapToGrid w:val="0"/>
        </w:rPr>
        <w:t>十四、验收</w:t>
      </w:r>
    </w:p>
    <w:p>
      <w:pPr>
        <w:pStyle w:val="10"/>
      </w:pPr>
      <w:r>
        <w:rPr>
          <w:rFonts w:hint="eastAsia"/>
        </w:rPr>
        <w:t>甲方或甲方委托的其他机构应及时对乙方提供的服务进行验收。验收时乙方应派员参加，共同对验收结果进行确认，并承担相关责任。</w:t>
      </w:r>
    </w:p>
    <w:p>
      <w:pPr>
        <w:pStyle w:val="10"/>
        <w:ind w:firstLine="482"/>
        <w:rPr>
          <w:b/>
          <w:snapToGrid w:val="0"/>
        </w:rPr>
      </w:pPr>
      <w:r>
        <w:rPr>
          <w:rFonts w:hint="eastAsia"/>
          <w:b/>
          <w:snapToGrid w:val="0"/>
        </w:rPr>
        <w:t>十五、清退规则及违约责任</w:t>
      </w:r>
    </w:p>
    <w:p>
      <w:pPr>
        <w:spacing w:line="440" w:lineRule="exact"/>
        <w:ind w:firstLine="482" w:firstLineChars="200"/>
        <w:jc w:val="left"/>
        <w:rPr>
          <w:rFonts w:ascii="宋体" w:hAnsi="Courier New" w:eastAsia="宋体" w:cs="Times New Roman"/>
          <w:b/>
          <w:sz w:val="24"/>
          <w:szCs w:val="24"/>
        </w:rPr>
      </w:pPr>
      <w:r>
        <w:rPr>
          <w:rFonts w:hint="eastAsia" w:ascii="宋体" w:hAnsi="Courier New" w:eastAsia="宋体" w:cs="Times New Roman"/>
          <w:b/>
          <w:sz w:val="24"/>
          <w:szCs w:val="24"/>
        </w:rPr>
        <w:t>（一）入围供应商清退规则</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 xml:space="preserve">1.入围供应商有下列情形之一，尚未签订框架协议的，取消其入围资格；已经签订框架协议的，解除与其签订的框架协议： </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 xml:space="preserve">⑴恶意串通谋取入围或者合同成交的； </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 xml:space="preserve">⑵提供虚假材料谋取入围或者合同成交的； </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 xml:space="preserve">⑶无正当理由拒不签订框架协议或接受合同授予的； </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 xml:space="preserve">⑷不履行合同义务或者履行合同义务不符合约定，经采购人请求履行后仍不履行或者仍未按约定履行的； </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⑸框架协议有效期内，因违法行为被禁止或限制参加政府采购活动的；</w:t>
      </w:r>
    </w:p>
    <w:p>
      <w:pPr>
        <w:spacing w:line="360" w:lineRule="auto"/>
        <w:ind w:firstLine="480" w:firstLineChars="200"/>
        <w:rPr>
          <w:rFonts w:ascii="宋体" w:hAnsi="Courier New" w:eastAsia="宋体" w:cs="Times New Roman"/>
          <w:sz w:val="24"/>
          <w:szCs w:val="24"/>
        </w:rPr>
      </w:pPr>
      <w:r>
        <w:rPr>
          <w:rFonts w:hint="eastAsia" w:ascii="宋体" w:hAnsi="Courier New" w:eastAsia="宋体" w:cs="Times New Roman"/>
          <w:sz w:val="24"/>
          <w:szCs w:val="24"/>
        </w:rPr>
        <w:t xml:space="preserve">⑹框架协议约定的其他情形。 </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2.入围供应商如发生实质性变动（营业执照注销、不再符合本项目资格条件等）的，尚未签订框架协议的，取消其入围资格；已经签订框架协议的，解除与其签订的框架协议。</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 xml:space="preserve">3.被取消入围资格或者被解除框架协议的供应商不得参加本封闭式框架协议补充征集。 </w:t>
      </w:r>
    </w:p>
    <w:p>
      <w:pPr>
        <w:spacing w:line="440" w:lineRule="exact"/>
        <w:ind w:firstLine="482" w:firstLineChars="200"/>
        <w:jc w:val="left"/>
        <w:rPr>
          <w:rFonts w:ascii="宋体" w:hAnsi="Courier New" w:eastAsia="宋体" w:cs="Times New Roman"/>
          <w:b/>
          <w:sz w:val="24"/>
          <w:szCs w:val="24"/>
        </w:rPr>
      </w:pPr>
      <w:r>
        <w:rPr>
          <w:rFonts w:hint="eastAsia" w:ascii="宋体" w:hAnsi="Courier New" w:eastAsia="宋体" w:cs="Times New Roman"/>
          <w:b/>
          <w:sz w:val="24"/>
          <w:szCs w:val="24"/>
        </w:rPr>
        <w:t>（二）违约责任</w:t>
      </w:r>
    </w:p>
    <w:p>
      <w:pPr>
        <w:spacing w:line="440" w:lineRule="exact"/>
        <w:ind w:firstLine="523" w:firstLineChars="218"/>
        <w:jc w:val="left"/>
        <w:rPr>
          <w:rFonts w:ascii="宋体" w:hAnsi="Courier New" w:eastAsia="宋体" w:cs="Times New Roman"/>
          <w:sz w:val="24"/>
          <w:szCs w:val="24"/>
        </w:rPr>
      </w:pPr>
      <w:r>
        <w:rPr>
          <w:rFonts w:hint="eastAsia" w:ascii="宋体" w:hAnsi="Courier New" w:eastAsia="宋体" w:cs="Times New Roman"/>
          <w:sz w:val="24"/>
          <w:szCs w:val="24"/>
        </w:rPr>
        <w:t>1.甲乙双方要严格按协议书履约；</w:t>
      </w:r>
    </w:p>
    <w:p>
      <w:pPr>
        <w:spacing w:line="440" w:lineRule="exact"/>
        <w:ind w:firstLine="523" w:firstLineChars="218"/>
        <w:jc w:val="left"/>
        <w:rPr>
          <w:rFonts w:ascii="宋体" w:hAnsi="Courier New" w:eastAsia="宋体" w:cs="Times New Roman"/>
          <w:sz w:val="24"/>
          <w:szCs w:val="24"/>
        </w:rPr>
      </w:pPr>
      <w:r>
        <w:rPr>
          <w:rFonts w:hint="eastAsia" w:ascii="宋体" w:hAnsi="Courier New" w:eastAsia="宋体" w:cs="Times New Roman"/>
          <w:sz w:val="24"/>
          <w:szCs w:val="24"/>
        </w:rPr>
        <w:t>2.如甲方违反本项目征集文件和协议书的有关规定，乙方有权向财政部门反映；</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3.如乙方违反本项目征集文件和协议书的有关规定，甲方有权根据本项目征集文件、协议书的规定对乙方进行处理，必要时按规定解除协议。</w:t>
      </w:r>
    </w:p>
    <w:p>
      <w:pPr>
        <w:spacing w:line="440" w:lineRule="exact"/>
        <w:ind w:firstLine="480" w:firstLineChars="200"/>
        <w:jc w:val="left"/>
        <w:rPr>
          <w:rFonts w:ascii="宋体" w:hAnsi="Courier New" w:eastAsia="宋体" w:cs="Times New Roman"/>
          <w:sz w:val="24"/>
          <w:szCs w:val="24"/>
        </w:rPr>
      </w:pPr>
      <w:r>
        <w:rPr>
          <w:rFonts w:hint="eastAsia" w:ascii="宋体" w:hAnsi="Courier New" w:eastAsia="宋体" w:cs="Times New Roman"/>
          <w:sz w:val="24"/>
          <w:szCs w:val="24"/>
        </w:rPr>
        <w:t>4. 合同履行过程中，有其他违约情况的按照浦财审【2022】1号或后续修改（补充）文件执行。</w:t>
      </w:r>
    </w:p>
    <w:p>
      <w:pPr>
        <w:pStyle w:val="10"/>
        <w:ind w:firstLine="482"/>
        <w:rPr>
          <w:b/>
          <w:snapToGrid w:val="0"/>
        </w:rPr>
      </w:pPr>
      <w:r>
        <w:rPr>
          <w:rFonts w:hint="eastAsia"/>
          <w:b/>
          <w:snapToGrid w:val="0"/>
        </w:rPr>
        <w:t>十六、不可抗力事件处理</w:t>
      </w:r>
    </w:p>
    <w:p>
      <w:pPr>
        <w:autoSpaceDE w:val="0"/>
        <w:autoSpaceDN w:val="0"/>
        <w:adjustRightInd w:val="0"/>
        <w:spacing w:line="360" w:lineRule="auto"/>
        <w:ind w:firstLine="480" w:firstLineChars="200"/>
        <w:rPr>
          <w:rFonts w:ascii="宋体" w:hAnsi="Courier New" w:eastAsia="宋体" w:cs="Times New Roman"/>
          <w:sz w:val="24"/>
          <w:szCs w:val="24"/>
        </w:rPr>
      </w:pPr>
      <w:r>
        <w:rPr>
          <w:rFonts w:hint="eastAsia" w:ascii="宋体" w:hAnsi="Courier New" w:eastAsia="宋体" w:cs="Times New Roman"/>
          <w:sz w:val="24"/>
          <w:szCs w:val="24"/>
        </w:rPr>
        <w:t>1.在合同有效期内，任何一方因不可抗力事件导致不能履行合同，则合同履行期可延长，其延长期与不可抗力影响期相同。</w:t>
      </w:r>
    </w:p>
    <w:p>
      <w:pPr>
        <w:autoSpaceDE w:val="0"/>
        <w:autoSpaceDN w:val="0"/>
        <w:adjustRightInd w:val="0"/>
        <w:spacing w:line="360" w:lineRule="auto"/>
        <w:ind w:firstLine="480" w:firstLineChars="200"/>
        <w:rPr>
          <w:rFonts w:ascii="宋体" w:hAnsi="Courier New" w:eastAsia="宋体" w:cs="Times New Roman"/>
          <w:sz w:val="24"/>
          <w:szCs w:val="24"/>
        </w:rPr>
      </w:pPr>
      <w:r>
        <w:rPr>
          <w:rFonts w:hint="eastAsia" w:ascii="宋体" w:hAnsi="Courier New" w:eastAsia="宋体" w:cs="Times New Roman"/>
          <w:sz w:val="24"/>
          <w:szCs w:val="24"/>
        </w:rPr>
        <w:t>2.不可抗力事件发生后，应立即通知对方，并寄送有关权威机构出具的证明。</w:t>
      </w:r>
    </w:p>
    <w:p>
      <w:pPr>
        <w:autoSpaceDE w:val="0"/>
        <w:autoSpaceDN w:val="0"/>
        <w:adjustRightInd w:val="0"/>
        <w:spacing w:line="360" w:lineRule="auto"/>
        <w:ind w:firstLine="480" w:firstLineChars="200"/>
        <w:rPr>
          <w:rFonts w:ascii="宋体" w:hAnsi="Courier New" w:eastAsia="宋体" w:cs="Times New Roman"/>
          <w:sz w:val="24"/>
          <w:szCs w:val="24"/>
        </w:rPr>
      </w:pPr>
      <w:r>
        <w:rPr>
          <w:rFonts w:hint="eastAsia" w:ascii="宋体" w:hAnsi="Courier New" w:eastAsia="宋体" w:cs="Times New Roman"/>
          <w:sz w:val="24"/>
          <w:szCs w:val="24"/>
        </w:rPr>
        <w:t>3.不可抗力事件延续120天以上，双方应通过友好协商，确定是否继续履行合同。</w:t>
      </w:r>
    </w:p>
    <w:p>
      <w:pPr>
        <w:pStyle w:val="10"/>
        <w:ind w:firstLine="482"/>
        <w:rPr>
          <w:b/>
          <w:snapToGrid w:val="0"/>
        </w:rPr>
      </w:pPr>
      <w:r>
        <w:rPr>
          <w:rFonts w:hint="eastAsia"/>
          <w:b/>
          <w:snapToGrid w:val="0"/>
        </w:rPr>
        <w:t>十七、诉讼</w:t>
      </w:r>
    </w:p>
    <w:p>
      <w:pPr>
        <w:spacing w:line="360" w:lineRule="auto"/>
        <w:ind w:firstLine="480" w:firstLineChars="200"/>
        <w:rPr>
          <w:rFonts w:ascii="宋体" w:hAnsi="Courier New" w:eastAsia="宋体" w:cs="Times New Roman"/>
          <w:sz w:val="24"/>
          <w:szCs w:val="24"/>
        </w:rPr>
      </w:pPr>
      <w:r>
        <w:rPr>
          <w:rFonts w:hint="eastAsia" w:ascii="宋体" w:hAnsi="Courier New" w:eastAsia="宋体" w:cs="Times New Roman"/>
          <w:sz w:val="24"/>
          <w:szCs w:val="24"/>
        </w:rPr>
        <w:t>双方在执行合同中所发生的一切争议，应通过协商解决。如协商不成，可向甲方所在地法院起诉。（</w:t>
      </w:r>
      <w:r>
        <w:rPr>
          <w:rFonts w:hint="eastAsia" w:ascii="宋体" w:hAnsi="宋体" w:eastAsia="宋体" w:cs="宋体"/>
          <w:sz w:val="24"/>
          <w:szCs w:val="24"/>
          <w:lang w:bidi="ar"/>
        </w:rPr>
        <w:t>协商不成时，可向</w:t>
      </w:r>
      <w:r>
        <w:rPr>
          <w:rFonts w:hint="eastAsia" w:ascii="宋体" w:hAnsi="宋体" w:eastAsia="宋体"/>
          <w:sz w:val="24"/>
          <w:szCs w:val="24"/>
        </w:rPr>
        <w:t>浦江</w:t>
      </w:r>
      <w:r>
        <w:rPr>
          <w:rFonts w:hint="eastAsia" w:ascii="宋体" w:hAnsi="宋体" w:eastAsia="宋体" w:cs="宋体"/>
          <w:sz w:val="24"/>
          <w:szCs w:val="24"/>
          <w:lang w:bidi="ar"/>
        </w:rPr>
        <w:t>仲裁委申请仲裁处理。）</w:t>
      </w:r>
    </w:p>
    <w:p>
      <w:pPr>
        <w:pStyle w:val="10"/>
        <w:ind w:firstLine="482"/>
        <w:rPr>
          <w:b/>
          <w:snapToGrid w:val="0"/>
        </w:rPr>
      </w:pPr>
      <w:r>
        <w:rPr>
          <w:rFonts w:hint="eastAsia"/>
          <w:b/>
          <w:snapToGrid w:val="0"/>
        </w:rPr>
        <w:t>十八、协议生效及其他</w:t>
      </w:r>
    </w:p>
    <w:p>
      <w:pPr>
        <w:spacing w:line="360" w:lineRule="auto"/>
        <w:ind w:firstLine="480" w:firstLineChars="200"/>
        <w:rPr>
          <w:rFonts w:ascii="宋体" w:hAnsi="Courier New" w:eastAsia="宋体" w:cs="Times New Roman"/>
          <w:sz w:val="24"/>
          <w:szCs w:val="24"/>
        </w:rPr>
      </w:pPr>
      <w:r>
        <w:rPr>
          <w:rFonts w:hint="eastAsia" w:ascii="宋体" w:hAnsi="Courier New" w:eastAsia="宋体" w:cs="Times New Roman"/>
          <w:sz w:val="24"/>
          <w:szCs w:val="24"/>
        </w:rPr>
        <w:t>1.协议经甲、乙双方加盖单位公章后生效。</w:t>
      </w:r>
    </w:p>
    <w:p>
      <w:pPr>
        <w:spacing w:line="360" w:lineRule="auto"/>
        <w:ind w:firstLine="480" w:firstLineChars="200"/>
        <w:rPr>
          <w:rFonts w:ascii="宋体" w:hAnsi="Courier New" w:eastAsia="宋体" w:cs="Times New Roman"/>
          <w:sz w:val="24"/>
          <w:szCs w:val="24"/>
        </w:rPr>
      </w:pPr>
      <w:r>
        <w:rPr>
          <w:rFonts w:hint="eastAsia" w:ascii="宋体" w:hAnsi="Courier New" w:eastAsia="宋体" w:cs="Times New Roman"/>
          <w:sz w:val="24"/>
          <w:szCs w:val="24"/>
        </w:rPr>
        <w:t>2.如有最新政策规定，甲乙双方按最新政策规定执行，不再签订补充协议。</w:t>
      </w:r>
    </w:p>
    <w:p>
      <w:pPr>
        <w:spacing w:line="360" w:lineRule="auto"/>
        <w:ind w:firstLine="480" w:firstLineChars="200"/>
        <w:rPr>
          <w:rFonts w:ascii="宋体" w:hAnsi="Courier New" w:eastAsia="宋体" w:cs="Times New Roman"/>
          <w:sz w:val="24"/>
          <w:szCs w:val="24"/>
        </w:rPr>
      </w:pPr>
      <w:r>
        <w:rPr>
          <w:rFonts w:hint="eastAsia" w:ascii="宋体" w:hAnsi="Courier New" w:eastAsia="宋体" w:cs="Times New Roman"/>
          <w:sz w:val="24"/>
          <w:szCs w:val="24"/>
        </w:rPr>
        <w:t>3.征集文件、响应文件与本协议具有同等法律效力。</w:t>
      </w:r>
    </w:p>
    <w:p>
      <w:pPr>
        <w:spacing w:line="360" w:lineRule="auto"/>
        <w:ind w:firstLine="480" w:firstLineChars="200"/>
        <w:rPr>
          <w:rFonts w:ascii="宋体" w:hAnsi="Courier New" w:eastAsia="宋体" w:cs="Times New Roman"/>
          <w:sz w:val="24"/>
          <w:szCs w:val="24"/>
        </w:rPr>
      </w:pPr>
      <w:r>
        <w:rPr>
          <w:rFonts w:hint="eastAsia" w:ascii="宋体" w:hAnsi="Courier New" w:eastAsia="宋体" w:cs="Times New Roman"/>
          <w:sz w:val="24"/>
          <w:szCs w:val="24"/>
        </w:rPr>
        <w:t>4.本协议未尽事宜，遵照《中华人民共和国民法典》有关条文执行。</w:t>
      </w:r>
    </w:p>
    <w:p>
      <w:pPr>
        <w:spacing w:line="360" w:lineRule="auto"/>
        <w:ind w:firstLine="480" w:firstLineChars="200"/>
        <w:rPr>
          <w:rFonts w:ascii="宋体" w:hAnsi="Courier New" w:eastAsia="宋体" w:cs="Times New Roman"/>
          <w:sz w:val="24"/>
          <w:szCs w:val="24"/>
        </w:rPr>
      </w:pPr>
      <w:r>
        <w:rPr>
          <w:rFonts w:hint="eastAsia" w:ascii="宋体" w:hAnsi="Courier New" w:eastAsia="宋体" w:cs="Times New Roman"/>
          <w:sz w:val="24"/>
          <w:szCs w:val="24"/>
        </w:rPr>
        <w:t>6.本协议一式两份，甲乙双方各执一份。</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pStyle w:val="10"/>
              <w:rPr>
                <w:snapToGrid w:val="0"/>
              </w:rPr>
            </w:pPr>
            <w:r>
              <w:rPr>
                <w:rFonts w:hint="eastAsia"/>
                <w:snapToGrid w:val="0"/>
              </w:rPr>
              <w:t xml:space="preserve">甲方（盖章）： </w:t>
            </w:r>
          </w:p>
          <w:p>
            <w:pPr>
              <w:pStyle w:val="10"/>
              <w:rPr>
                <w:snapToGrid w:val="0"/>
              </w:rPr>
            </w:pPr>
            <w:r>
              <w:rPr>
                <w:rFonts w:hint="eastAsia"/>
                <w:snapToGrid w:val="0"/>
              </w:rPr>
              <w:t xml:space="preserve">地址： </w:t>
            </w:r>
          </w:p>
          <w:p>
            <w:pPr>
              <w:pStyle w:val="10"/>
              <w:rPr>
                <w:snapToGrid w:val="0"/>
              </w:rPr>
            </w:pPr>
            <w:r>
              <w:rPr>
                <w:rFonts w:hint="eastAsia"/>
                <w:snapToGrid w:val="0"/>
              </w:rPr>
              <w:t xml:space="preserve">法定（授权）代表人： </w:t>
            </w:r>
          </w:p>
          <w:p>
            <w:pPr>
              <w:pStyle w:val="10"/>
              <w:rPr>
                <w:snapToGrid w:val="0"/>
              </w:rPr>
            </w:pPr>
            <w:r>
              <w:rPr>
                <w:rFonts w:hint="eastAsia"/>
                <w:snapToGrid w:val="0"/>
              </w:rPr>
              <w:t>签名日期：     年   月   日</w:t>
            </w:r>
          </w:p>
        </w:tc>
        <w:tc>
          <w:tcPr>
            <w:tcW w:w="4261" w:type="dxa"/>
          </w:tcPr>
          <w:p>
            <w:pPr>
              <w:pStyle w:val="10"/>
              <w:rPr>
                <w:snapToGrid w:val="0"/>
              </w:rPr>
            </w:pPr>
            <w:r>
              <w:rPr>
                <w:rFonts w:hint="eastAsia"/>
                <w:snapToGrid w:val="0"/>
              </w:rPr>
              <w:t>乙方（盖章）：</w:t>
            </w:r>
          </w:p>
          <w:p>
            <w:pPr>
              <w:pStyle w:val="10"/>
              <w:rPr>
                <w:snapToGrid w:val="0"/>
              </w:rPr>
            </w:pPr>
            <w:r>
              <w:rPr>
                <w:rFonts w:hint="eastAsia"/>
                <w:snapToGrid w:val="0"/>
              </w:rPr>
              <w:t xml:space="preserve">地址： </w:t>
            </w:r>
          </w:p>
          <w:p>
            <w:pPr>
              <w:pStyle w:val="10"/>
              <w:rPr>
                <w:snapToGrid w:val="0"/>
              </w:rPr>
            </w:pPr>
            <w:r>
              <w:rPr>
                <w:rFonts w:hint="eastAsia"/>
                <w:snapToGrid w:val="0"/>
              </w:rPr>
              <w:t>法定（授权）代表人：</w:t>
            </w:r>
          </w:p>
          <w:p>
            <w:pPr>
              <w:pStyle w:val="10"/>
              <w:rPr>
                <w:snapToGrid w:val="0"/>
              </w:rPr>
            </w:pPr>
            <w:r>
              <w:rPr>
                <w:rFonts w:hint="eastAsia"/>
                <w:snapToGrid w:val="0"/>
              </w:rPr>
              <w:t>签名日期：     年   月   日</w:t>
            </w:r>
          </w:p>
        </w:tc>
      </w:tr>
    </w:tbl>
    <w:p>
      <w:pPr>
        <w:spacing w:line="520" w:lineRule="exact"/>
        <w:ind w:firstLine="567" w:firstLineChars="189"/>
        <w:rPr>
          <w:rFonts w:ascii="仿宋" w:hAnsi="仿宋" w:eastAsia="仿宋"/>
          <w:sz w:val="30"/>
          <w:szCs w:val="30"/>
        </w:rPr>
      </w:pPr>
    </w:p>
    <w:p>
      <w:pPr>
        <w:pStyle w:val="10"/>
      </w:pPr>
      <w:r>
        <w:rPr>
          <w:rFonts w:hint="eastAsia"/>
        </w:rPr>
        <w:t>附件1：浦财审〔</w:t>
      </w:r>
      <w:r>
        <w:t>2022〕1号</w:t>
      </w:r>
    </w:p>
    <w:p>
      <w:pPr>
        <w:pStyle w:val="10"/>
      </w:pPr>
      <w:r>
        <w:rPr>
          <w:rFonts w:hint="eastAsia"/>
        </w:rPr>
        <w:t>附件</w:t>
      </w:r>
      <w:r>
        <w:t>2</w:t>
      </w:r>
      <w:r>
        <w:rPr>
          <w:rFonts w:hint="eastAsia"/>
        </w:rPr>
        <w:t>：廉政承诺书</w:t>
      </w:r>
    </w:p>
    <w:p>
      <w:pPr>
        <w:pStyle w:val="10"/>
      </w:pPr>
      <w:r>
        <w:br w:type="page"/>
      </w:r>
    </w:p>
    <w:p>
      <w:pPr>
        <w:adjustRightInd w:val="0"/>
        <w:snapToGrid w:val="0"/>
        <w:spacing w:line="440" w:lineRule="exact"/>
        <w:ind w:firstLine="480" w:firstLineChars="200"/>
      </w:pPr>
      <w:r>
        <w:rPr>
          <w:rFonts w:hint="eastAsia" w:ascii="宋体" w:hAnsi="宋体" w:eastAsia="宋体"/>
          <w:sz w:val="24"/>
          <w:szCs w:val="24"/>
        </w:rPr>
        <w:t>附件1：浦财审【2022】1号</w:t>
      </w:r>
    </w:p>
    <w:p>
      <w:pPr>
        <w:adjustRightInd w:val="0"/>
        <w:snapToGrid w:val="0"/>
      </w:pPr>
      <w:r>
        <w:drawing>
          <wp:inline distT="0" distB="0" distL="0" distR="0">
            <wp:extent cx="5274310" cy="7254875"/>
            <wp:effectExtent l="0" t="0" r="2540" b="3175"/>
            <wp:docPr id="9" name="图片 9" descr="D:\我的文档\WeChat Files\wxid_6519045190312\FileStorage\Temp\1708584067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我的文档\WeChat Files\wxid_6519045190312\FileStorage\Temp\170858406724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7254875"/>
                    </a:xfrm>
                    <a:prstGeom prst="rect">
                      <a:avLst/>
                    </a:prstGeom>
                    <a:noFill/>
                    <a:ln>
                      <a:noFill/>
                    </a:ln>
                  </pic:spPr>
                </pic:pic>
              </a:graphicData>
            </a:graphic>
          </wp:inline>
        </w:drawing>
      </w:r>
    </w:p>
    <w:p>
      <w:r>
        <w:drawing>
          <wp:inline distT="0" distB="0" distL="0" distR="0">
            <wp:extent cx="5274310" cy="7277735"/>
            <wp:effectExtent l="0" t="0" r="2540" b="0"/>
            <wp:docPr id="10" name="图片 10" descr="D:\我的文档\WeChat Files\wxid_6519045190312\FileStorage\Temp\1708584112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我的文档\WeChat Files\wxid_6519045190312\FileStorage\Temp\170858411206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7278211"/>
                    </a:xfrm>
                    <a:prstGeom prst="rect">
                      <a:avLst/>
                    </a:prstGeom>
                    <a:noFill/>
                    <a:ln>
                      <a:noFill/>
                    </a:ln>
                  </pic:spPr>
                </pic:pic>
              </a:graphicData>
            </a:graphic>
          </wp:inline>
        </w:drawing>
      </w:r>
      <w:r>
        <w:drawing>
          <wp:inline distT="0" distB="0" distL="0" distR="0">
            <wp:extent cx="5274310" cy="7159625"/>
            <wp:effectExtent l="0" t="0" r="2540" b="3175"/>
            <wp:docPr id="11" name="图片 11" descr="D:\我的文档\WeChat Files\wxid_6519045190312\FileStorage\Temp\17085841368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我的文档\WeChat Files\wxid_6519045190312\FileStorage\Temp\170858413687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4310" cy="7160224"/>
                    </a:xfrm>
                    <a:prstGeom prst="rect">
                      <a:avLst/>
                    </a:prstGeom>
                    <a:noFill/>
                    <a:ln>
                      <a:noFill/>
                    </a:ln>
                  </pic:spPr>
                </pic:pic>
              </a:graphicData>
            </a:graphic>
          </wp:inline>
        </w:drawing>
      </w:r>
    </w:p>
    <w:p>
      <w:pPr>
        <w:rPr>
          <w:rFonts w:ascii="Times New Roman" w:hAnsi="Times New Roman" w:cs="Times New Roman"/>
          <w:snapToGrid w:val="0"/>
          <w:w w:val="0"/>
          <w:kern w:val="0"/>
          <w:sz w:val="0"/>
          <w:szCs w:val="0"/>
          <w:u w:color="000000"/>
          <w:shd w:val="clear" w:color="000000" w:fill="000000"/>
          <w:lang w:val="zh-CN" w:bidi="zh-CN"/>
        </w:rPr>
      </w:pPr>
      <w:r>
        <w:drawing>
          <wp:inline distT="0" distB="0" distL="0" distR="0">
            <wp:extent cx="5274310" cy="7439660"/>
            <wp:effectExtent l="0" t="0" r="2540" b="8890"/>
            <wp:docPr id="12" name="图片 12" descr="D:\我的文档\WeChat Files\wxid_6519045190312\FileStorage\Temp\1708584157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我的文档\WeChat Files\wxid_6519045190312\FileStorage\Temp\170858415735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7440053"/>
                    </a:xfrm>
                    <a:prstGeom prst="rect">
                      <a:avLst/>
                    </a:prstGeom>
                    <a:noFill/>
                    <a:ln>
                      <a:noFill/>
                    </a:ln>
                  </pic:spPr>
                </pic:pic>
              </a:graphicData>
            </a:graphic>
          </wp:inline>
        </w:drawing>
      </w:r>
      <w:r>
        <w:rPr>
          <w:rFonts w:ascii="Times New Roman" w:hAnsi="Times New Roman" w:eastAsia="Times New Roman" w:cs="Times New Roman"/>
          <w:snapToGrid w:val="0"/>
          <w:w w:val="0"/>
          <w:kern w:val="0"/>
          <w:sz w:val="0"/>
          <w:szCs w:val="0"/>
          <w:u w:color="000000"/>
          <w:shd w:val="clear" w:color="000000" w:fill="000000"/>
          <w:lang w:val="zh-CN" w:bidi="zh-CN"/>
        </w:rPr>
        <w:t xml:space="preserve"> </w:t>
      </w:r>
      <w:r>
        <w:rPr>
          <w:rFonts w:ascii="Times New Roman" w:hAnsi="Times New Roman" w:eastAsia="Times New Roman" w:cs="Times New Roman"/>
          <w:w w:val="0"/>
          <w:kern w:val="0"/>
          <w:sz w:val="0"/>
          <w:szCs w:val="0"/>
          <w:u w:color="000000"/>
          <w:shd w:val="clear" w:color="000000" w:fill="000000"/>
        </w:rPr>
        <w:drawing>
          <wp:inline distT="0" distB="0" distL="0" distR="0">
            <wp:extent cx="5274310" cy="7325995"/>
            <wp:effectExtent l="0" t="0" r="2540" b="8255"/>
            <wp:docPr id="13" name="图片 13" descr="D:\我的文档\WeChat Files\wxid_6519045190312\FileStorage\Temp\1708584174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我的文档\WeChat Files\wxid_6519045190312\FileStorage\Temp\170858417485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4310" cy="7326314"/>
                    </a:xfrm>
                    <a:prstGeom prst="rect">
                      <a:avLst/>
                    </a:prstGeom>
                    <a:noFill/>
                    <a:ln>
                      <a:noFill/>
                    </a:ln>
                  </pic:spPr>
                </pic:pic>
              </a:graphicData>
            </a:graphic>
          </wp:inline>
        </w:drawing>
      </w:r>
      <w:r>
        <w:rPr>
          <w:rFonts w:ascii="Times New Roman" w:hAnsi="Times New Roman" w:eastAsia="Times New Roman" w:cs="Times New Roman"/>
          <w:snapToGrid w:val="0"/>
          <w:w w:val="0"/>
          <w:kern w:val="0"/>
          <w:sz w:val="0"/>
          <w:szCs w:val="0"/>
          <w:u w:color="000000"/>
          <w:shd w:val="clear" w:color="000000" w:fill="000000"/>
          <w:lang w:val="zh-CN" w:bidi="zh-CN"/>
        </w:rPr>
        <w:t xml:space="preserve"> </w:t>
      </w:r>
      <w:r>
        <w:rPr>
          <w:rFonts w:ascii="Times New Roman" w:hAnsi="Times New Roman" w:eastAsia="Times New Roman" w:cs="Times New Roman"/>
          <w:w w:val="0"/>
          <w:kern w:val="0"/>
          <w:sz w:val="0"/>
          <w:szCs w:val="0"/>
          <w:u w:color="000000"/>
          <w:shd w:val="clear" w:color="000000" w:fill="000000"/>
        </w:rPr>
        <w:drawing>
          <wp:inline distT="0" distB="0" distL="0" distR="0">
            <wp:extent cx="5081270" cy="7703185"/>
            <wp:effectExtent l="0" t="0" r="5080" b="0"/>
            <wp:docPr id="14" name="图片 14" descr="D:\我的文档\WeChat Files\wxid_6519045190312\FileStorage\Temp\1708584196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D:\我的文档\WeChat Files\wxid_6519045190312\FileStorage\Temp\170858419645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081270" cy="7703185"/>
                    </a:xfrm>
                    <a:prstGeom prst="rect">
                      <a:avLst/>
                    </a:prstGeom>
                    <a:noFill/>
                    <a:ln>
                      <a:noFill/>
                    </a:ln>
                  </pic:spPr>
                </pic:pic>
              </a:graphicData>
            </a:graphic>
          </wp:inline>
        </w:drawing>
      </w:r>
    </w:p>
    <w:p>
      <w:pPr>
        <w:pStyle w:val="10"/>
        <w:ind w:firstLine="0" w:firstLineChars="0"/>
      </w:pPr>
      <w:r>
        <w:br w:type="page"/>
      </w:r>
    </w:p>
    <w:p>
      <w:pPr>
        <w:pStyle w:val="10"/>
      </w:pPr>
      <w:r>
        <w:rPr>
          <w:rFonts w:hint="eastAsia"/>
        </w:rPr>
        <w:t>附件</w:t>
      </w:r>
      <w:r>
        <w:t>2</w:t>
      </w:r>
      <w:r>
        <w:rPr>
          <w:rFonts w:hint="eastAsia"/>
        </w:rPr>
        <w:t>：廉政承诺书</w:t>
      </w:r>
    </w:p>
    <w:p>
      <w:pPr>
        <w:pStyle w:val="10"/>
        <w:ind w:firstLine="0" w:firstLineChars="0"/>
      </w:pPr>
      <w:r>
        <w:drawing>
          <wp:anchor distT="0" distB="0" distL="114300" distR="114300" simplePos="0" relativeHeight="251660288" behindDoc="0" locked="0" layoutInCell="1" allowOverlap="1">
            <wp:simplePos x="0" y="0"/>
            <wp:positionH relativeFrom="column">
              <wp:posOffset>20955</wp:posOffset>
            </wp:positionH>
            <wp:positionV relativeFrom="paragraph">
              <wp:posOffset>254635</wp:posOffset>
            </wp:positionV>
            <wp:extent cx="5273675" cy="6749415"/>
            <wp:effectExtent l="0" t="0" r="3175" b="0"/>
            <wp:wrapTopAndBottom/>
            <wp:docPr id="17" name="图片 17" descr="D:\我的文档\WeChat Files\wxid_6519045190312\FileStorage\Temp\17085852864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D:\我的文档\WeChat Files\wxid_6519045190312\FileStorage\Temp\170858528648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73675" cy="6749415"/>
                    </a:xfrm>
                    <a:prstGeom prst="rect">
                      <a:avLst/>
                    </a:prstGeom>
                    <a:noFill/>
                    <a:ln>
                      <a:noFill/>
                    </a:ln>
                  </pic:spPr>
                </pic:pic>
              </a:graphicData>
            </a:graphic>
          </wp:anchor>
        </w:drawing>
      </w:r>
    </w:p>
    <w:p>
      <w:pPr>
        <w:pStyle w:val="10"/>
        <w:ind w:firstLine="0" w:firstLineChars="0"/>
      </w:pPr>
    </w:p>
    <w:p>
      <w:pPr>
        <w:pStyle w:val="10"/>
        <w:ind w:firstLine="0" w:firstLineChars="0"/>
      </w:pPr>
    </w:p>
    <w:p>
      <w:pPr>
        <w:pStyle w:val="10"/>
        <w:ind w:firstLine="0" w:firstLineChars="0"/>
      </w:pPr>
    </w:p>
    <w:p>
      <w:pPr>
        <w:pStyle w:val="10"/>
        <w:ind w:firstLine="0" w:firstLineChars="0"/>
      </w:pPr>
    </w:p>
    <w:p>
      <w:pPr>
        <w:pStyle w:val="3"/>
        <w:spacing w:before="0" w:after="0" w:line="360" w:lineRule="auto"/>
        <w:ind w:firstLine="424" w:firstLineChars="151"/>
        <w:jc w:val="center"/>
        <w:rPr>
          <w:sz w:val="28"/>
        </w:rPr>
      </w:pPr>
      <w:r>
        <w:rPr>
          <w:rFonts w:hint="eastAsia"/>
          <w:sz w:val="28"/>
        </w:rPr>
        <w:t>采购合同文本</w:t>
      </w:r>
    </w:p>
    <w:p>
      <w:pPr>
        <w:ind w:firstLine="883"/>
        <w:jc w:val="center"/>
        <w:rPr>
          <w:rFonts w:ascii="宋体" w:hAnsi="宋体" w:eastAsia="宋体" w:cs="宋体"/>
          <w:b/>
          <w:bCs/>
          <w:sz w:val="44"/>
          <w:szCs w:val="44"/>
        </w:rPr>
      </w:pPr>
      <w:r>
        <w:rPr>
          <w:rFonts w:hint="eastAsia" w:ascii="宋体" w:hAnsi="宋体" w:eastAsia="宋体" w:cs="宋体"/>
          <w:b/>
          <w:bCs/>
          <w:sz w:val="44"/>
          <w:szCs w:val="44"/>
        </w:rPr>
        <w:t>项目审核业务委托单</w:t>
      </w:r>
    </w:p>
    <w:p>
      <w:pPr>
        <w:ind w:firstLine="562"/>
        <w:jc w:val="center"/>
        <w:rPr>
          <w:rFonts w:ascii="宋体" w:hAnsi="宋体" w:eastAsia="宋体" w:cs="宋体"/>
          <w:sz w:val="28"/>
          <w:szCs w:val="28"/>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0"/>
        <w:gridCol w:w="3420"/>
        <w:gridCol w:w="1350"/>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vAlign w:val="center"/>
          </w:tcPr>
          <w:p>
            <w:pPr>
              <w:rPr>
                <w:rFonts w:ascii="宋体" w:hAnsi="宋体" w:eastAsia="宋体" w:cs="宋体"/>
                <w:sz w:val="24"/>
              </w:rPr>
            </w:pPr>
            <w:r>
              <w:rPr>
                <w:rFonts w:hint="eastAsia" w:ascii="宋体" w:hAnsi="宋体" w:eastAsia="宋体" w:cs="宋体"/>
                <w:sz w:val="24"/>
                <w:szCs w:val="24"/>
              </w:rPr>
              <w:t>委托单位（甲方）：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vAlign w:val="center"/>
          </w:tcPr>
          <w:p>
            <w:pPr>
              <w:rPr>
                <w:rFonts w:ascii="宋体" w:hAnsi="宋体" w:eastAsia="宋体" w:cs="宋体"/>
                <w:sz w:val="24"/>
              </w:rPr>
            </w:pPr>
            <w:r>
              <w:rPr>
                <w:rFonts w:hint="eastAsia" w:ascii="宋体" w:hAnsi="宋体" w:eastAsia="宋体" w:cs="宋体"/>
                <w:sz w:val="24"/>
                <w:szCs w:val="24"/>
              </w:rPr>
              <w:t>受托单位（乙方）：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0" w:type="dxa"/>
            <w:vAlign w:val="center"/>
          </w:tcPr>
          <w:p>
            <w:pPr>
              <w:rPr>
                <w:rFonts w:ascii="宋体" w:hAnsi="宋体" w:eastAsia="宋体" w:cs="宋体"/>
                <w:sz w:val="24"/>
              </w:rPr>
            </w:pPr>
            <w:r>
              <w:rPr>
                <w:rFonts w:hint="eastAsia" w:ascii="宋体" w:hAnsi="宋体" w:eastAsia="宋体" w:cs="宋体"/>
                <w:sz w:val="24"/>
                <w:szCs w:val="24"/>
              </w:rPr>
              <w:t>项目名称</w:t>
            </w:r>
          </w:p>
        </w:tc>
        <w:tc>
          <w:tcPr>
            <w:tcW w:w="3420" w:type="dxa"/>
            <w:vAlign w:val="center"/>
          </w:tcPr>
          <w:p>
            <w:pPr>
              <w:rPr>
                <w:rFonts w:ascii="宋体" w:hAnsi="宋体" w:eastAsia="宋体" w:cs="宋体"/>
                <w:sz w:val="24"/>
              </w:rPr>
            </w:pPr>
          </w:p>
        </w:tc>
        <w:tc>
          <w:tcPr>
            <w:tcW w:w="1350" w:type="dxa"/>
            <w:vAlign w:val="center"/>
          </w:tcPr>
          <w:p>
            <w:pPr>
              <w:rPr>
                <w:rFonts w:ascii="宋体" w:hAnsi="宋体" w:eastAsia="宋体" w:cs="宋体"/>
                <w:sz w:val="24"/>
              </w:rPr>
            </w:pPr>
            <w:r>
              <w:rPr>
                <w:rFonts w:hint="eastAsia" w:ascii="宋体" w:hAnsi="宋体" w:eastAsia="宋体" w:cs="宋体"/>
                <w:sz w:val="24"/>
                <w:szCs w:val="24"/>
              </w:rPr>
              <w:t>审核类型</w:t>
            </w:r>
          </w:p>
        </w:tc>
        <w:tc>
          <w:tcPr>
            <w:tcW w:w="1732" w:type="dxa"/>
            <w:vAlign w:val="center"/>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0" w:type="dxa"/>
            <w:vAlign w:val="center"/>
          </w:tcPr>
          <w:p>
            <w:pPr>
              <w:rPr>
                <w:rFonts w:ascii="宋体" w:hAnsi="宋体" w:eastAsia="宋体" w:cs="宋体"/>
                <w:sz w:val="24"/>
              </w:rPr>
            </w:pPr>
            <w:r>
              <w:rPr>
                <w:rFonts w:hint="eastAsia" w:ascii="宋体" w:hAnsi="宋体" w:eastAsia="宋体" w:cs="宋体"/>
                <w:sz w:val="24"/>
                <w:szCs w:val="24"/>
              </w:rPr>
              <w:t>送审金额（元）</w:t>
            </w:r>
          </w:p>
        </w:tc>
        <w:tc>
          <w:tcPr>
            <w:tcW w:w="6502" w:type="dxa"/>
            <w:gridSpan w:val="3"/>
            <w:vAlign w:val="center"/>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2020" w:type="dxa"/>
            <w:vAlign w:val="center"/>
          </w:tcPr>
          <w:p>
            <w:pPr>
              <w:rPr>
                <w:rFonts w:ascii="宋体" w:hAnsi="宋体" w:eastAsia="宋体" w:cs="宋体"/>
                <w:sz w:val="24"/>
              </w:rPr>
            </w:pPr>
            <w:r>
              <w:rPr>
                <w:rFonts w:hint="eastAsia" w:ascii="宋体" w:hAnsi="宋体" w:eastAsia="宋体" w:cs="宋体"/>
                <w:sz w:val="24"/>
                <w:szCs w:val="24"/>
              </w:rPr>
              <w:t>审核内容</w:t>
            </w:r>
          </w:p>
        </w:tc>
        <w:tc>
          <w:tcPr>
            <w:tcW w:w="6502" w:type="dxa"/>
            <w:gridSpan w:val="3"/>
            <w:vAlign w:val="center"/>
          </w:tcPr>
          <w:p>
            <w:pPr>
              <w:rPr>
                <w:rFonts w:ascii="宋体" w:hAnsi="宋体" w:eastAsia="宋体" w:cs="宋体"/>
                <w:sz w:val="24"/>
              </w:rPr>
            </w:pPr>
            <w:r>
              <w:rPr>
                <w:rFonts w:hint="eastAsia" w:ascii="宋体" w:hAnsi="宋体" w:eastAsia="宋体" w:cs="宋体"/>
                <w:sz w:val="24"/>
                <w:szCs w:val="24"/>
              </w:rPr>
              <w:t>按照框架协议内容，对委托事项进行全面审核。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020" w:type="dxa"/>
            <w:vAlign w:val="center"/>
          </w:tcPr>
          <w:p>
            <w:pPr>
              <w:rPr>
                <w:rFonts w:ascii="宋体" w:hAnsi="宋体" w:eastAsia="宋体" w:cs="宋体"/>
                <w:sz w:val="24"/>
              </w:rPr>
            </w:pPr>
            <w:r>
              <w:rPr>
                <w:rFonts w:hint="eastAsia" w:ascii="宋体" w:hAnsi="宋体" w:eastAsia="宋体" w:cs="宋体"/>
                <w:sz w:val="24"/>
                <w:szCs w:val="24"/>
                <w:lang w:bidi="ar"/>
              </w:rPr>
              <w:t>质量标准及要求</w:t>
            </w:r>
          </w:p>
        </w:tc>
        <w:tc>
          <w:tcPr>
            <w:tcW w:w="6502" w:type="dxa"/>
            <w:gridSpan w:val="3"/>
            <w:vAlign w:val="center"/>
          </w:tcPr>
          <w:p>
            <w:pPr>
              <w:spacing w:before="156" w:beforeLines="50" w:after="156" w:afterLines="50"/>
              <w:rPr>
                <w:rFonts w:ascii="宋体" w:hAnsi="宋体" w:eastAsia="宋体" w:cs="宋体"/>
                <w:sz w:val="24"/>
                <w:szCs w:val="24"/>
              </w:rPr>
            </w:pPr>
            <w:r>
              <w:rPr>
                <w:rFonts w:hint="eastAsia" w:ascii="宋体" w:hAnsi="宋体" w:eastAsia="宋体" w:cs="宋体"/>
                <w:sz w:val="24"/>
                <w:szCs w:val="24"/>
              </w:rPr>
              <w:t>1.工程造价咨询成果文件符合委托人相关要求及《浙江省建设工程造价咨询成果质量评价导则（试行）》（浙建站计【2023】1号）标准。</w:t>
            </w:r>
          </w:p>
          <w:p>
            <w:pPr>
              <w:spacing w:before="156" w:beforeLines="50" w:after="156" w:afterLines="50"/>
              <w:rPr>
                <w:rFonts w:ascii="宋体" w:hAnsi="宋体" w:eastAsia="宋体" w:cs="宋体"/>
                <w:sz w:val="24"/>
                <w:szCs w:val="24"/>
              </w:rPr>
            </w:pPr>
            <w:r>
              <w:rPr>
                <w:rFonts w:hint="eastAsia" w:ascii="宋体" w:hAnsi="宋体" w:eastAsia="宋体" w:cs="宋体"/>
                <w:sz w:val="24"/>
                <w:szCs w:val="24"/>
              </w:rPr>
              <w:t>2.符合框架协议等相关要求。</w:t>
            </w:r>
          </w:p>
          <w:p>
            <w:pPr>
              <w:spacing w:before="156" w:beforeLines="50" w:after="156" w:afterLines="50"/>
            </w:pPr>
            <w:r>
              <w:rPr>
                <w:rFonts w:hint="eastAsia" w:ascii="宋体" w:hAnsi="宋体" w:eastAsia="宋体" w:cs="宋体"/>
                <w:sz w:val="24"/>
                <w:szCs w:val="24"/>
              </w:rPr>
              <w:t>3.符合浦财审〔2022〕1号或后续修改（补充）文件要求。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0" w:type="dxa"/>
            <w:vAlign w:val="center"/>
          </w:tcPr>
          <w:p>
            <w:pPr>
              <w:rPr>
                <w:rFonts w:ascii="宋体" w:hAnsi="宋体" w:eastAsia="宋体" w:cs="宋体"/>
                <w:sz w:val="24"/>
              </w:rPr>
            </w:pPr>
            <w:r>
              <w:rPr>
                <w:rFonts w:hint="eastAsia" w:ascii="宋体" w:hAnsi="宋体" w:eastAsia="宋体" w:cs="宋体"/>
                <w:sz w:val="24"/>
                <w:szCs w:val="24"/>
              </w:rPr>
              <w:t>甲方项目负责人</w:t>
            </w:r>
          </w:p>
        </w:tc>
        <w:tc>
          <w:tcPr>
            <w:tcW w:w="3420" w:type="dxa"/>
            <w:vAlign w:val="center"/>
          </w:tcPr>
          <w:p>
            <w:pPr>
              <w:rPr>
                <w:rFonts w:ascii="宋体" w:hAnsi="宋体" w:eastAsia="宋体" w:cs="宋体"/>
                <w:sz w:val="24"/>
              </w:rPr>
            </w:pPr>
          </w:p>
        </w:tc>
        <w:tc>
          <w:tcPr>
            <w:tcW w:w="1350" w:type="dxa"/>
            <w:vAlign w:val="center"/>
          </w:tcPr>
          <w:p>
            <w:pPr>
              <w:rPr>
                <w:rFonts w:ascii="宋体" w:hAnsi="宋体" w:eastAsia="宋体" w:cs="宋体"/>
                <w:sz w:val="24"/>
              </w:rPr>
            </w:pPr>
            <w:r>
              <w:rPr>
                <w:rFonts w:hint="eastAsia" w:ascii="宋体" w:hAnsi="宋体" w:eastAsia="宋体" w:cs="宋体"/>
                <w:sz w:val="24"/>
                <w:szCs w:val="24"/>
              </w:rPr>
              <w:t>联系电话</w:t>
            </w:r>
          </w:p>
        </w:tc>
        <w:tc>
          <w:tcPr>
            <w:tcW w:w="1732" w:type="dxa"/>
            <w:vAlign w:val="center"/>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0" w:type="dxa"/>
            <w:vAlign w:val="center"/>
          </w:tcPr>
          <w:p>
            <w:pPr>
              <w:rPr>
                <w:rFonts w:ascii="宋体" w:hAnsi="宋体" w:eastAsia="宋体" w:cs="宋体"/>
                <w:sz w:val="24"/>
              </w:rPr>
            </w:pPr>
            <w:r>
              <w:rPr>
                <w:rFonts w:hint="eastAsia" w:ascii="宋体" w:hAnsi="宋体" w:eastAsia="宋体" w:cs="宋体"/>
                <w:sz w:val="24"/>
                <w:szCs w:val="24"/>
              </w:rPr>
              <w:t>乙方项目负责人</w:t>
            </w:r>
          </w:p>
        </w:tc>
        <w:tc>
          <w:tcPr>
            <w:tcW w:w="3420" w:type="dxa"/>
            <w:vAlign w:val="center"/>
          </w:tcPr>
          <w:p>
            <w:pPr>
              <w:rPr>
                <w:rFonts w:ascii="宋体" w:hAnsi="宋体" w:eastAsia="宋体" w:cs="宋体"/>
                <w:sz w:val="24"/>
              </w:rPr>
            </w:pPr>
          </w:p>
        </w:tc>
        <w:tc>
          <w:tcPr>
            <w:tcW w:w="1350" w:type="dxa"/>
            <w:vAlign w:val="center"/>
          </w:tcPr>
          <w:p>
            <w:pPr>
              <w:rPr>
                <w:rFonts w:ascii="宋体" w:hAnsi="宋体" w:eastAsia="宋体" w:cs="宋体"/>
                <w:sz w:val="24"/>
              </w:rPr>
            </w:pPr>
            <w:r>
              <w:rPr>
                <w:rFonts w:hint="eastAsia" w:ascii="宋体" w:hAnsi="宋体" w:eastAsia="宋体" w:cs="宋体"/>
                <w:sz w:val="24"/>
                <w:szCs w:val="24"/>
              </w:rPr>
              <w:t>联系电话</w:t>
            </w:r>
          </w:p>
        </w:tc>
        <w:tc>
          <w:tcPr>
            <w:tcW w:w="1732" w:type="dxa"/>
            <w:vAlign w:val="center"/>
          </w:tcPr>
          <w:p>
            <w:pPr>
              <w:rPr>
                <w:rFonts w:ascii="宋体" w:hAnsi="宋体" w:eastAsia="宋体" w:cs="宋体"/>
                <w:sz w:val="24"/>
              </w:rPr>
            </w:pPr>
          </w:p>
        </w:tc>
      </w:tr>
    </w:tbl>
    <w:p>
      <w:pPr>
        <w:rPr>
          <w:rFonts w:ascii="宋体" w:hAnsi="宋体" w:eastAsia="宋体" w:cs="宋体"/>
          <w:sz w:val="24"/>
        </w:rPr>
      </w:pPr>
      <w:r>
        <w:rPr>
          <w:rFonts w:hint="eastAsia" w:ascii="宋体" w:hAnsi="宋体" w:eastAsia="宋体" w:cs="宋体"/>
          <w:sz w:val="24"/>
          <w:szCs w:val="24"/>
        </w:rPr>
        <w:t>此表一式两份。</w:t>
      </w: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r>
        <w:rPr>
          <w:rFonts w:hint="eastAsia" w:ascii="宋体" w:hAnsi="宋体" w:eastAsia="宋体" w:cs="宋体"/>
          <w:sz w:val="24"/>
          <w:szCs w:val="24"/>
        </w:rPr>
        <w:t>委托人（盖章）：                               受托人（盖章）：</w:t>
      </w:r>
    </w:p>
    <w:p>
      <w:pPr>
        <w:rPr>
          <w:rFonts w:ascii="宋体" w:hAnsi="宋体" w:eastAsia="宋体" w:cs="宋体"/>
          <w:sz w:val="24"/>
        </w:rPr>
      </w:pPr>
    </w:p>
    <w:p>
      <w:pPr>
        <w:ind w:firstLine="3840" w:firstLineChars="1600"/>
        <w:rPr>
          <w:rFonts w:ascii="宋体" w:hAnsi="宋体" w:eastAsia="宋体" w:cs="宋体"/>
          <w:sz w:val="24"/>
        </w:rPr>
      </w:pPr>
    </w:p>
    <w:p>
      <w:pPr>
        <w:jc w:val="center"/>
        <w:rPr>
          <w:rFonts w:ascii="宋体" w:hAnsi="宋体" w:eastAsia="宋体" w:cs="宋体"/>
          <w:sz w:val="24"/>
        </w:rPr>
      </w:pPr>
      <w:r>
        <w:rPr>
          <w:rFonts w:hint="eastAsia" w:ascii="宋体" w:hAnsi="宋体" w:eastAsia="宋体" w:cs="宋体"/>
          <w:sz w:val="24"/>
          <w:szCs w:val="24"/>
        </w:rPr>
        <w:t>委托日期：</w:t>
      </w:r>
    </w:p>
    <w:p>
      <w:pPr>
        <w:pStyle w:val="10"/>
      </w:pPr>
    </w:p>
    <w:p>
      <w:pPr>
        <w:pStyle w:val="10"/>
        <w:sectPr>
          <w:pgSz w:w="11906" w:h="16838"/>
          <w:pgMar w:top="1440" w:right="1800" w:bottom="1440" w:left="1800" w:header="851" w:footer="992" w:gutter="0"/>
          <w:cols w:space="425" w:num="1"/>
          <w:docGrid w:type="lines" w:linePitch="312" w:charSpace="0"/>
        </w:sectPr>
      </w:pPr>
    </w:p>
    <w:p>
      <w:pPr>
        <w:pStyle w:val="2"/>
      </w:pPr>
      <w:bookmarkStart w:id="6" w:name="_Toc157175694"/>
      <w:r>
        <w:rPr>
          <w:rFonts w:hint="eastAsia"/>
        </w:rPr>
        <w:t>第六章 响应文件格式</w:t>
      </w:r>
      <w:bookmarkEnd w:id="6"/>
    </w:p>
    <w:p>
      <w:pPr>
        <w:pStyle w:val="3"/>
        <w:spacing w:before="0" w:after="0" w:line="360" w:lineRule="auto"/>
        <w:ind w:firstLine="424" w:firstLineChars="151"/>
      </w:pPr>
      <w:r>
        <w:rPr>
          <w:rFonts w:hint="eastAsia"/>
          <w:sz w:val="28"/>
        </w:rPr>
        <w:t>1.所有响应文件封面格式：</w:t>
      </w:r>
    </w:p>
    <w:p>
      <w:pPr>
        <w:snapToGrid w:val="0"/>
        <w:spacing w:before="156" w:beforeLines="50" w:after="50"/>
        <w:jc w:val="right"/>
        <w:rPr>
          <w:rFonts w:ascii="宋体" w:hAnsi="宋体"/>
          <w:b/>
          <w:bCs/>
          <w:sz w:val="32"/>
          <w:szCs w:val="20"/>
        </w:rPr>
      </w:pPr>
      <w:r>
        <w:rPr>
          <w:rFonts w:ascii="宋体" w:hAnsi="宋体"/>
          <w:sz w:val="24"/>
        </w:rPr>
        <w:t xml:space="preserve">   </w:t>
      </w:r>
      <w:r>
        <w:rPr>
          <w:rFonts w:hint="eastAsia" w:ascii="宋体" w:hAnsi="宋体"/>
          <w:b/>
          <w:bCs/>
        </w:rPr>
        <w:t>正本</w:t>
      </w:r>
      <w:r>
        <w:rPr>
          <w:rFonts w:ascii="宋体" w:hAnsi="宋体"/>
          <w:b/>
          <w:bCs/>
        </w:rPr>
        <w:t>/</w:t>
      </w:r>
      <w:r>
        <w:rPr>
          <w:rFonts w:hint="eastAsia" w:ascii="宋体" w:hAnsi="宋体"/>
          <w:b/>
          <w:bCs/>
        </w:rPr>
        <w:t>或副本</w:t>
      </w:r>
    </w:p>
    <w:p>
      <w:pPr>
        <w:snapToGrid w:val="0"/>
        <w:spacing w:before="156" w:beforeLines="50" w:after="50"/>
        <w:rPr>
          <w:rFonts w:ascii="宋体" w:hAnsi="宋体"/>
          <w:sz w:val="24"/>
          <w:szCs w:val="20"/>
        </w:rPr>
      </w:pPr>
    </w:p>
    <w:p>
      <w:pPr>
        <w:snapToGrid w:val="0"/>
        <w:spacing w:before="156" w:beforeLines="50" w:after="50"/>
        <w:ind w:firstLine="803"/>
        <w:jc w:val="center"/>
        <w:rPr>
          <w:rFonts w:ascii="宋体" w:hAnsi="宋体"/>
          <w:bCs/>
          <w:sz w:val="40"/>
          <w:szCs w:val="20"/>
        </w:rPr>
      </w:pPr>
      <w:r>
        <w:rPr>
          <w:rFonts w:hint="eastAsia" w:ascii="宋体" w:hAnsi="宋体"/>
          <w:bCs/>
          <w:sz w:val="40"/>
          <w:szCs w:val="20"/>
        </w:rPr>
        <w:t>XXX封闭式框架协议项目</w:t>
      </w:r>
    </w:p>
    <w:p>
      <w:pPr>
        <w:snapToGrid w:val="0"/>
        <w:spacing w:before="156" w:beforeLines="50" w:after="50"/>
        <w:jc w:val="center"/>
        <w:rPr>
          <w:rFonts w:ascii="宋体" w:hAnsi="宋体"/>
          <w:bCs/>
          <w:sz w:val="24"/>
        </w:rPr>
      </w:pPr>
    </w:p>
    <w:p>
      <w:pPr>
        <w:snapToGrid w:val="0"/>
        <w:spacing w:before="156" w:beforeLines="50" w:after="50"/>
        <w:jc w:val="center"/>
        <w:rPr>
          <w:rFonts w:ascii="宋体" w:hAnsi="宋体"/>
          <w:bCs/>
          <w:sz w:val="24"/>
          <w:szCs w:val="20"/>
        </w:rPr>
      </w:pPr>
      <w:r>
        <w:rPr>
          <w:rFonts w:hint="eastAsia" w:ascii="宋体" w:hAnsi="宋体"/>
          <w:bCs/>
          <w:sz w:val="24"/>
        </w:rPr>
        <w:t>资格响应文件/技术商务文件/报价文件</w:t>
      </w:r>
    </w:p>
    <w:p>
      <w:pPr>
        <w:snapToGrid w:val="0"/>
        <w:spacing w:before="156" w:beforeLines="50" w:after="50"/>
        <w:rPr>
          <w:rFonts w:ascii="宋体" w:hAnsi="宋体"/>
          <w:bCs/>
          <w:sz w:val="24"/>
          <w:szCs w:val="20"/>
        </w:rPr>
      </w:pPr>
    </w:p>
    <w:p>
      <w:pPr>
        <w:adjustRightInd w:val="0"/>
        <w:snapToGrid w:val="0"/>
        <w:spacing w:before="156" w:beforeLines="50" w:after="50" w:line="600" w:lineRule="exact"/>
        <w:ind w:firstLine="1068" w:firstLineChars="445"/>
        <w:rPr>
          <w:rFonts w:ascii="宋体" w:hAnsi="宋体"/>
          <w:bCs/>
          <w:sz w:val="24"/>
        </w:rPr>
      </w:pPr>
      <w:r>
        <w:rPr>
          <w:rFonts w:hint="eastAsia" w:ascii="宋体" w:hAnsi="宋体"/>
          <w:bCs/>
          <w:sz w:val="24"/>
        </w:rPr>
        <w:t>项目名称：</w:t>
      </w:r>
    </w:p>
    <w:p>
      <w:pPr>
        <w:adjustRightInd w:val="0"/>
        <w:snapToGrid w:val="0"/>
        <w:spacing w:before="156" w:beforeLines="50" w:after="50" w:line="600" w:lineRule="exact"/>
        <w:ind w:firstLine="1068" w:firstLineChars="445"/>
        <w:rPr>
          <w:rFonts w:ascii="宋体" w:hAnsi="宋体"/>
          <w:bCs/>
          <w:sz w:val="24"/>
        </w:rPr>
      </w:pPr>
      <w:r>
        <w:rPr>
          <w:rFonts w:hint="eastAsia" w:ascii="宋体" w:hAnsi="宋体"/>
          <w:bCs/>
          <w:sz w:val="24"/>
        </w:rPr>
        <w:t>项目编号：</w:t>
      </w:r>
      <w:r>
        <w:rPr>
          <w:rFonts w:ascii="宋体" w:hAnsi="宋体"/>
          <w:bCs/>
          <w:sz w:val="24"/>
        </w:rPr>
        <w:t xml:space="preserve"> </w:t>
      </w:r>
    </w:p>
    <w:p>
      <w:pPr>
        <w:adjustRightInd w:val="0"/>
        <w:snapToGrid w:val="0"/>
        <w:spacing w:before="156" w:beforeLines="50" w:after="50" w:line="600" w:lineRule="exact"/>
        <w:ind w:firstLine="1068" w:firstLineChars="445"/>
        <w:rPr>
          <w:rFonts w:ascii="宋体" w:hAnsi="宋体"/>
          <w:bCs/>
          <w:sz w:val="24"/>
        </w:rPr>
      </w:pPr>
      <w:r>
        <w:rPr>
          <w:rFonts w:hint="eastAsia" w:ascii="宋体" w:hAnsi="宋体"/>
          <w:bCs/>
          <w:sz w:val="24"/>
        </w:rPr>
        <w:t>标</w:t>
      </w:r>
      <w:r>
        <w:rPr>
          <w:rFonts w:ascii="宋体" w:hAnsi="宋体"/>
          <w:bCs/>
          <w:sz w:val="24"/>
        </w:rPr>
        <w:t xml:space="preserve"> </w:t>
      </w:r>
      <w:r>
        <w:rPr>
          <w:rFonts w:hint="eastAsia" w:ascii="宋体" w:hAnsi="宋体"/>
          <w:bCs/>
          <w:sz w:val="24"/>
        </w:rPr>
        <w:t>项：</w:t>
      </w:r>
    </w:p>
    <w:p>
      <w:pPr>
        <w:adjustRightInd w:val="0"/>
        <w:snapToGrid w:val="0"/>
        <w:spacing w:before="156" w:beforeLines="50" w:after="50" w:line="600" w:lineRule="exact"/>
        <w:ind w:firstLine="1068" w:firstLineChars="445"/>
        <w:rPr>
          <w:rFonts w:ascii="宋体" w:hAnsi="宋体"/>
          <w:bCs/>
          <w:sz w:val="24"/>
          <w:szCs w:val="24"/>
        </w:rPr>
      </w:pPr>
      <w:r>
        <w:rPr>
          <w:rFonts w:hint="eastAsia" w:ascii="宋体" w:hAnsi="宋体"/>
          <w:bCs/>
          <w:sz w:val="24"/>
          <w:szCs w:val="24"/>
        </w:rPr>
        <w:t>响应供应商名称：</w:t>
      </w:r>
    </w:p>
    <w:p>
      <w:pPr>
        <w:adjustRightInd w:val="0"/>
        <w:snapToGrid w:val="0"/>
        <w:spacing w:before="156" w:beforeLines="50" w:after="50" w:line="600" w:lineRule="exact"/>
        <w:ind w:firstLine="1068" w:firstLineChars="445"/>
        <w:rPr>
          <w:rFonts w:ascii="宋体" w:hAnsi="宋体"/>
          <w:bCs/>
          <w:sz w:val="24"/>
          <w:szCs w:val="24"/>
        </w:rPr>
      </w:pPr>
      <w:r>
        <w:rPr>
          <w:rFonts w:hint="eastAsia" w:ascii="宋体" w:hAnsi="宋体"/>
          <w:bCs/>
          <w:sz w:val="24"/>
          <w:szCs w:val="24"/>
        </w:rPr>
        <w:t>响应供应商地址：</w:t>
      </w:r>
    </w:p>
    <w:p>
      <w:pPr>
        <w:pStyle w:val="5"/>
        <w:snapToGrid w:val="0"/>
        <w:spacing w:before="50" w:after="50"/>
        <w:ind w:firstLine="960" w:firstLineChars="400"/>
        <w:rPr>
          <w:rFonts w:ascii="宋体" w:hAnsi="宋体"/>
          <w:bCs/>
          <w:sz w:val="24"/>
          <w:szCs w:val="24"/>
        </w:rPr>
      </w:pPr>
    </w:p>
    <w:p>
      <w:pPr>
        <w:snapToGrid w:val="0"/>
        <w:spacing w:before="156" w:beforeLines="50" w:after="50"/>
        <w:ind w:firstLine="4080" w:firstLineChars="1700"/>
        <w:rPr>
          <w:rFonts w:ascii="宋体" w:hAnsi="宋体"/>
          <w:sz w:val="24"/>
          <w:szCs w:val="20"/>
        </w:rPr>
      </w:pPr>
    </w:p>
    <w:p>
      <w:pPr>
        <w:snapToGrid w:val="0"/>
        <w:spacing w:before="156" w:beforeLines="50" w:after="50"/>
        <w:ind w:firstLine="482"/>
        <w:jc w:val="center"/>
        <w:rPr>
          <w:rFonts w:ascii="宋体" w:hAnsi="宋体"/>
          <w:sz w:val="24"/>
          <w:szCs w:val="20"/>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
    <w:p/>
    <w:p/>
    <w:p/>
    <w:p/>
    <w:p/>
    <w:p/>
    <w:p/>
    <w:p/>
    <w:p/>
    <w:p/>
    <w:p/>
    <w:p>
      <w:pPr>
        <w:pStyle w:val="3"/>
        <w:spacing w:before="0" w:after="0" w:line="360" w:lineRule="auto"/>
        <w:ind w:firstLine="424" w:firstLineChars="151"/>
        <w:rPr>
          <w:sz w:val="28"/>
        </w:rPr>
      </w:pPr>
      <w:r>
        <w:rPr>
          <w:rFonts w:hint="eastAsia"/>
          <w:sz w:val="28"/>
        </w:rPr>
        <w:t>2.响应声明书格式</w:t>
      </w:r>
    </w:p>
    <w:p>
      <w:pPr>
        <w:snapToGrid w:val="0"/>
        <w:spacing w:before="156" w:beforeLines="50" w:after="50"/>
        <w:ind w:firstLine="482"/>
        <w:jc w:val="center"/>
        <w:rPr>
          <w:rFonts w:ascii="宋体" w:hAnsi="宋体"/>
          <w:b/>
          <w:sz w:val="24"/>
        </w:rPr>
      </w:pPr>
      <w:r>
        <w:rPr>
          <w:rFonts w:hint="eastAsia" w:ascii="宋体" w:hAnsi="宋体"/>
          <w:b/>
          <w:sz w:val="24"/>
        </w:rPr>
        <w:t>响应声明书</w:t>
      </w:r>
    </w:p>
    <w:p>
      <w:pPr>
        <w:adjustRightInd w:val="0"/>
        <w:snapToGrid w:val="0"/>
        <w:spacing w:after="50" w:line="440" w:lineRule="exact"/>
        <w:rPr>
          <w:rFonts w:ascii="宋体" w:hAnsi="宋体" w:cs="宋体"/>
          <w:sz w:val="24"/>
          <w:szCs w:val="20"/>
        </w:rPr>
      </w:pPr>
      <w:r>
        <w:rPr>
          <w:rFonts w:hint="eastAsia" w:ascii="宋体" w:hAnsi="宋体" w:cs="宋体"/>
          <w:sz w:val="24"/>
        </w:rPr>
        <w:t>致：</w:t>
      </w:r>
      <w:r>
        <w:rPr>
          <w:rFonts w:hint="eastAsia" w:ascii="宋体" w:hAnsi="宋体" w:cs="宋体"/>
          <w:sz w:val="24"/>
          <w:u w:val="single"/>
        </w:rPr>
        <w:t xml:space="preserve">  浦江县财政项目预算审核中心    </w:t>
      </w:r>
      <w:r>
        <w:rPr>
          <w:rFonts w:hint="eastAsia" w:ascii="宋体" w:hAnsi="宋体" w:cs="宋体"/>
          <w:sz w:val="24"/>
        </w:rPr>
        <w:t>（征集人（主管预算单位））：</w:t>
      </w:r>
    </w:p>
    <w:p>
      <w:pPr>
        <w:adjustRightInd w:val="0"/>
        <w:snapToGrid w:val="0"/>
        <w:spacing w:after="50" w:line="440" w:lineRule="exact"/>
        <w:ind w:firstLine="720" w:firstLineChars="300"/>
        <w:rPr>
          <w:rFonts w:ascii="宋体" w:hAnsi="宋体" w:cs="宋体"/>
          <w:sz w:val="24"/>
          <w:szCs w:val="20"/>
        </w:rPr>
      </w:pPr>
      <w:r>
        <w:rPr>
          <w:rFonts w:hint="eastAsia" w:ascii="宋体" w:hAnsi="宋体" w:cs="宋体"/>
          <w:sz w:val="24"/>
          <w:u w:val="single"/>
        </w:rPr>
        <w:t xml:space="preserve">              </w:t>
      </w:r>
      <w:r>
        <w:rPr>
          <w:rFonts w:hint="eastAsia" w:ascii="宋体" w:hAnsi="宋体" w:cs="宋体"/>
          <w:sz w:val="24"/>
        </w:rPr>
        <w:t>（响应方名称）系中华人民共和国合法企业，经营地址</w:t>
      </w:r>
      <w:r>
        <w:rPr>
          <w:rFonts w:hint="eastAsia" w:ascii="宋体" w:hAnsi="宋体" w:cs="宋体"/>
          <w:sz w:val="24"/>
          <w:u w:val="single"/>
        </w:rPr>
        <w:t xml:space="preserve">                               </w:t>
      </w:r>
      <w:r>
        <w:rPr>
          <w:rFonts w:hint="eastAsia" w:ascii="宋体" w:hAnsi="宋体" w:cs="宋体"/>
          <w:sz w:val="24"/>
        </w:rPr>
        <w:t>。</w:t>
      </w:r>
    </w:p>
    <w:p>
      <w:pPr>
        <w:adjustRightInd w:val="0"/>
        <w:snapToGrid w:val="0"/>
        <w:spacing w:after="50" w:line="440" w:lineRule="exact"/>
        <w:ind w:firstLine="482"/>
        <w:rPr>
          <w:rFonts w:ascii="宋体" w:hAnsi="宋体" w:cs="宋体"/>
          <w:sz w:val="24"/>
          <w:szCs w:val="20"/>
        </w:rPr>
      </w:pPr>
      <w:r>
        <w:rPr>
          <w:rFonts w:hint="eastAsia" w:ascii="宋体" w:hAnsi="宋体" w:cs="宋体"/>
          <w:sz w:val="24"/>
        </w:rPr>
        <w:t>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（响应方名称）的法定代表人，我方愿意参加贵方组织的</w:t>
      </w:r>
      <w:r>
        <w:rPr>
          <w:rFonts w:hint="eastAsia" w:ascii="宋体" w:hAnsi="宋体" w:cs="宋体"/>
          <w:sz w:val="24"/>
          <w:u w:val="single"/>
        </w:rPr>
        <w:t xml:space="preserve">                 </w:t>
      </w:r>
      <w:r>
        <w:rPr>
          <w:rFonts w:hint="eastAsia" w:ascii="宋体" w:hAnsi="宋体" w:cs="宋体"/>
          <w:sz w:val="24"/>
        </w:rPr>
        <w:t>项目（项目编号：</w:t>
      </w:r>
      <w:r>
        <w:rPr>
          <w:rFonts w:hint="eastAsia" w:ascii="宋体" w:hAnsi="宋体" w:cs="宋体"/>
          <w:sz w:val="24"/>
          <w:u w:val="single"/>
        </w:rPr>
        <w:t xml:space="preserve">        </w:t>
      </w:r>
      <w:r>
        <w:rPr>
          <w:rFonts w:hint="eastAsia" w:ascii="宋体" w:hAnsi="宋体" w:cs="宋体"/>
          <w:sz w:val="24"/>
        </w:rPr>
        <w:t>）的征集响应，为此，我方就本次响应有关事项郑重声明如下：</w:t>
      </w:r>
    </w:p>
    <w:p>
      <w:pPr>
        <w:adjustRightInd w:val="0"/>
        <w:snapToGrid w:val="0"/>
        <w:spacing w:after="50" w:line="440" w:lineRule="exact"/>
        <w:ind w:firstLine="480" w:firstLineChars="200"/>
        <w:rPr>
          <w:rFonts w:hAnsi="宋体" w:cs="宋体"/>
          <w:sz w:val="24"/>
          <w:szCs w:val="24"/>
        </w:rPr>
      </w:pPr>
      <w:r>
        <w:rPr>
          <w:rFonts w:hAnsi="宋体" w:cs="宋体"/>
          <w:sz w:val="24"/>
        </w:rPr>
        <w:t>1.</w:t>
      </w:r>
      <w:r>
        <w:rPr>
          <w:rFonts w:hint="eastAsia" w:ascii="宋体" w:hAnsi="宋体" w:eastAsia="宋体" w:cs="宋体"/>
          <w:sz w:val="24"/>
          <w:szCs w:val="24"/>
        </w:rPr>
        <w:t xml:space="preserve"> 我方已详细审查全部征集文件，同意征集文件的各项要求，对征集文件的合理性、合法性不再有异议。</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 我方向贵方提交的所有响应文件、资料都是准确的和真实的。</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 若入围，我方将按征集文件规定履行框架协议责任和义务，承诺按采购人要求做好保密工作。</w:t>
      </w:r>
    </w:p>
    <w:p>
      <w:pPr>
        <w:adjustRightInd w:val="0"/>
        <w:snapToGrid w:val="0"/>
        <w:spacing w:after="50" w:line="440" w:lineRule="exact"/>
        <w:ind w:firstLine="480" w:firstLineChars="200"/>
        <w:rPr>
          <w:rFonts w:hAnsi="宋体" w:cs="宋体"/>
          <w:sz w:val="24"/>
          <w:szCs w:val="24"/>
        </w:rPr>
      </w:pPr>
      <w:r>
        <w:rPr>
          <w:rFonts w:hint="eastAsia" w:hAnsi="宋体" w:cs="宋体"/>
          <w:sz w:val="24"/>
          <w:szCs w:val="24"/>
        </w:rPr>
        <w:t>4. 我方不是采购人的附属机构；在获知本项目采购信息后，与征集人聘请的为此项目提供咨询服务的公司及其附属机构没有任何联系。</w:t>
      </w:r>
    </w:p>
    <w:p>
      <w:pPr>
        <w:adjustRightInd w:val="0"/>
        <w:snapToGrid w:val="0"/>
        <w:spacing w:after="50" w:line="440" w:lineRule="exact"/>
        <w:ind w:firstLine="480" w:firstLineChars="200"/>
        <w:rPr>
          <w:rFonts w:hAnsi="宋体" w:cs="宋体"/>
          <w:sz w:val="24"/>
          <w:szCs w:val="24"/>
        </w:rPr>
      </w:pPr>
      <w:r>
        <w:rPr>
          <w:rFonts w:hAnsi="宋体" w:cs="宋体"/>
          <w:sz w:val="24"/>
          <w:szCs w:val="24"/>
        </w:rPr>
        <w:t>5.</w:t>
      </w:r>
      <w:r>
        <w:rPr>
          <w:rFonts w:hint="eastAsia" w:hAnsi="宋体" w:cs="宋体"/>
          <w:sz w:val="24"/>
          <w:szCs w:val="24"/>
        </w:rPr>
        <w:t xml:space="preserve"> 响应文件自开标日起有效期为90天。</w:t>
      </w:r>
    </w:p>
    <w:p>
      <w:pPr>
        <w:adjustRightInd w:val="0"/>
        <w:snapToGrid w:val="0"/>
        <w:spacing w:after="50" w:line="440" w:lineRule="exact"/>
        <w:ind w:firstLine="480" w:firstLineChars="200"/>
        <w:rPr>
          <w:rFonts w:hAnsi="宋体" w:cs="宋体"/>
          <w:sz w:val="24"/>
          <w:szCs w:val="24"/>
        </w:rPr>
      </w:pPr>
      <w:r>
        <w:rPr>
          <w:rFonts w:hAnsi="宋体" w:cs="宋体"/>
          <w:sz w:val="24"/>
          <w:szCs w:val="24"/>
        </w:rPr>
        <w:t>6.</w:t>
      </w:r>
      <w:r>
        <w:rPr>
          <w:rFonts w:hint="eastAsia" w:hAnsi="宋体" w:cs="宋体"/>
          <w:sz w:val="24"/>
          <w:szCs w:val="24"/>
        </w:rPr>
        <w:t xml:space="preserve"> 我方承诺已经具备参与政府采购活动的资格条件并且没有税收缴纳、社会保障等方面的失信记录；</w:t>
      </w:r>
    </w:p>
    <w:p>
      <w:pPr>
        <w:adjustRightInd w:val="0"/>
        <w:snapToGrid w:val="0"/>
        <w:spacing w:after="50" w:line="440" w:lineRule="exact"/>
        <w:ind w:firstLine="480" w:firstLineChars="200"/>
      </w:pPr>
      <w:r>
        <w:rPr>
          <w:rFonts w:hint="eastAsia" w:hAnsi="宋体" w:cs="宋体"/>
          <w:sz w:val="24"/>
          <w:szCs w:val="24"/>
        </w:rPr>
        <w:t>7.我方通过“信用中国”网站（www.creditchina.gov.cn）、中国政府采购网（www.ccgp.gov.cn）查询，未被列入失信被执行人、重大税收违法案件当事人名单、政府采购严重违法失信行为记录名单。</w:t>
      </w:r>
    </w:p>
    <w:p>
      <w:pPr>
        <w:adjustRightInd w:val="0"/>
        <w:snapToGrid w:val="0"/>
        <w:spacing w:after="50" w:line="440" w:lineRule="exact"/>
        <w:ind w:firstLine="480" w:firstLineChars="200"/>
        <w:rPr>
          <w:rFonts w:hAnsi="宋体" w:cs="宋体"/>
          <w:sz w:val="24"/>
          <w:szCs w:val="24"/>
        </w:rPr>
      </w:pPr>
      <w:r>
        <w:rPr>
          <w:rFonts w:hint="eastAsia" w:hAnsi="宋体" w:cs="宋体"/>
          <w:sz w:val="24"/>
          <w:szCs w:val="24"/>
        </w:rPr>
        <w:t>8</w:t>
      </w:r>
      <w:r>
        <w:rPr>
          <w:rFonts w:hAnsi="宋体" w:cs="宋体"/>
          <w:sz w:val="24"/>
          <w:szCs w:val="24"/>
        </w:rPr>
        <w:t xml:space="preserve">. </w:t>
      </w:r>
      <w:r>
        <w:rPr>
          <w:rFonts w:hint="eastAsia" w:hAnsi="宋体" w:cs="宋体"/>
          <w:sz w:val="24"/>
          <w:szCs w:val="24"/>
        </w:rPr>
        <w:t>我方与参加本次项目同一合同项下政府采购活动的其他供应商不存在单位负责人为同一人或者直接控股、管理关系。</w:t>
      </w:r>
    </w:p>
    <w:p>
      <w:pPr>
        <w:adjustRightInd w:val="0"/>
        <w:snapToGrid w:val="0"/>
        <w:spacing w:after="50" w:line="440" w:lineRule="exact"/>
        <w:ind w:firstLine="480" w:firstLineChars="200"/>
        <w:rPr>
          <w:rFonts w:hAnsi="宋体" w:cs="宋体"/>
          <w:sz w:val="24"/>
          <w:szCs w:val="24"/>
        </w:rPr>
      </w:pPr>
      <w:r>
        <w:rPr>
          <w:rFonts w:hint="eastAsia" w:hAnsi="宋体" w:cs="宋体"/>
          <w:sz w:val="24"/>
          <w:szCs w:val="24"/>
        </w:rPr>
        <w:t>9</w:t>
      </w:r>
      <w:r>
        <w:rPr>
          <w:rFonts w:hAnsi="宋体" w:cs="宋体"/>
          <w:sz w:val="24"/>
          <w:szCs w:val="24"/>
        </w:rPr>
        <w:t>.</w:t>
      </w:r>
      <w:r>
        <w:rPr>
          <w:rFonts w:hint="eastAsia" w:hAnsi="宋体" w:cs="宋体"/>
          <w:sz w:val="24"/>
          <w:szCs w:val="24"/>
        </w:rPr>
        <w:t>以上事项如有虚假或隐瞒，我方愿意承担一切后果，并不再寻求任何旨在减轻或免除法律责任的辩解。</w:t>
      </w:r>
    </w:p>
    <w:p>
      <w:pPr>
        <w:snapToGrid w:val="0"/>
        <w:spacing w:before="156" w:beforeLines="50" w:after="50" w:line="440" w:lineRule="exact"/>
        <w:ind w:firstLine="480" w:firstLineChars="200"/>
        <w:rPr>
          <w:rFonts w:hAnsi="宋体" w:cs="宋体"/>
          <w:sz w:val="24"/>
          <w:szCs w:val="24"/>
        </w:rPr>
      </w:pPr>
    </w:p>
    <w:p>
      <w:pPr>
        <w:snapToGrid w:val="0"/>
        <w:spacing w:before="156" w:beforeLines="50"/>
        <w:ind w:right="480" w:firstLine="3720" w:firstLineChars="1550"/>
        <w:rPr>
          <w:rFonts w:ascii="宋体" w:hAnsi="宋体" w:cs="宋体"/>
          <w:sz w:val="24"/>
          <w:szCs w:val="20"/>
          <w:u w:val="single"/>
        </w:rPr>
      </w:pPr>
      <w:r>
        <w:rPr>
          <w:rFonts w:hint="eastAsia" w:ascii="宋体" w:hAnsi="宋体" w:cs="宋体"/>
          <w:sz w:val="24"/>
        </w:rPr>
        <w:t>法定代表人（签名或盖章）：</w:t>
      </w:r>
      <w:r>
        <w:rPr>
          <w:rFonts w:hint="eastAsia" w:ascii="宋体" w:hAnsi="宋体" w:cs="宋体"/>
          <w:sz w:val="24"/>
          <w:u w:val="single"/>
        </w:rPr>
        <w:t xml:space="preserve">             </w:t>
      </w:r>
    </w:p>
    <w:p>
      <w:pPr>
        <w:snapToGrid w:val="0"/>
        <w:spacing w:before="156" w:beforeLines="50" w:after="50"/>
        <w:ind w:right="480" w:firstLine="240" w:firstLineChars="100"/>
        <w:jc w:val="center"/>
        <w:rPr>
          <w:rFonts w:ascii="宋体" w:hAnsi="宋体" w:cs="宋体"/>
          <w:sz w:val="24"/>
        </w:rPr>
      </w:pPr>
      <w:r>
        <w:rPr>
          <w:rFonts w:hint="eastAsia" w:ascii="宋体" w:hAnsi="宋体" w:cs="宋体"/>
          <w:sz w:val="24"/>
        </w:rPr>
        <w:t xml:space="preserve">             响应供应商（盖章）：</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 xml:space="preserve">                                                       年    月    日</w:t>
      </w:r>
    </w:p>
    <w:p>
      <w:pPr>
        <w:rPr>
          <w:rFonts w:ascii="宋体" w:hAnsi="宋体" w:cs="宋体"/>
          <w:sz w:val="24"/>
        </w:rPr>
      </w:pPr>
    </w:p>
    <w:p>
      <w:pPr>
        <w:rPr>
          <w:rFonts w:ascii="宋体" w:hAnsi="宋体" w:cs="宋体"/>
          <w:sz w:val="24"/>
        </w:rPr>
        <w:sectPr>
          <w:pgSz w:w="11906" w:h="16838"/>
          <w:pgMar w:top="1440" w:right="1800" w:bottom="1440" w:left="1800" w:header="851" w:footer="992" w:gutter="0"/>
          <w:cols w:space="425" w:num="1"/>
          <w:docGrid w:type="lines" w:linePitch="312" w:charSpace="0"/>
        </w:sectPr>
      </w:pPr>
    </w:p>
    <w:p>
      <w:pPr>
        <w:pStyle w:val="3"/>
        <w:spacing w:before="0" w:after="0" w:line="360" w:lineRule="auto"/>
        <w:ind w:firstLine="424" w:firstLineChars="151"/>
        <w:rPr>
          <w:sz w:val="28"/>
        </w:rPr>
      </w:pPr>
      <w:r>
        <w:rPr>
          <w:rFonts w:hint="eastAsia"/>
          <w:sz w:val="28"/>
        </w:rPr>
        <w:t>3.法定代表人授权委托书格式</w:t>
      </w:r>
    </w:p>
    <w:p>
      <w:pPr>
        <w:snapToGrid w:val="0"/>
        <w:spacing w:before="156" w:beforeLines="50" w:after="50"/>
        <w:ind w:firstLine="482"/>
        <w:jc w:val="center"/>
        <w:rPr>
          <w:rFonts w:ascii="宋体" w:hAnsi="宋体"/>
          <w:b/>
          <w:sz w:val="24"/>
          <w:szCs w:val="20"/>
        </w:rPr>
      </w:pPr>
      <w:r>
        <w:rPr>
          <w:rFonts w:hint="eastAsia" w:ascii="宋体" w:hAnsi="宋体"/>
          <w:b/>
          <w:sz w:val="24"/>
        </w:rPr>
        <w:t>法定代表人授权委托书</w:t>
      </w:r>
    </w:p>
    <w:p>
      <w:pPr>
        <w:adjustRightInd w:val="0"/>
        <w:snapToGrid w:val="0"/>
        <w:spacing w:line="440" w:lineRule="exact"/>
        <w:rPr>
          <w:rFonts w:ascii="宋体" w:hAnsi="宋体"/>
          <w:b/>
          <w:bCs/>
          <w:sz w:val="24"/>
          <w:szCs w:val="20"/>
        </w:rPr>
      </w:pPr>
      <w:r>
        <w:rPr>
          <w:rFonts w:hint="eastAsia" w:ascii="宋体" w:hAnsi="宋体"/>
          <w:bCs/>
          <w:sz w:val="24"/>
        </w:rPr>
        <w:t>致：</w:t>
      </w:r>
      <w:r>
        <w:rPr>
          <w:rFonts w:hint="eastAsia" w:ascii="宋体" w:hAnsi="宋体" w:cs="宋体"/>
          <w:sz w:val="24"/>
          <w:u w:val="single"/>
        </w:rPr>
        <w:t xml:space="preserve">  浦江县财政项目预算审核中心     </w:t>
      </w:r>
      <w:r>
        <w:rPr>
          <w:rFonts w:hint="eastAsia" w:ascii="宋体" w:hAnsi="宋体" w:cs="宋体"/>
          <w:sz w:val="24"/>
        </w:rPr>
        <w:t>（征集人（主管预算单位））：</w:t>
      </w:r>
    </w:p>
    <w:p>
      <w:pPr>
        <w:adjustRightInd w:val="0"/>
        <w:snapToGrid w:val="0"/>
        <w:spacing w:line="440" w:lineRule="exact"/>
        <w:ind w:firstLine="720" w:firstLineChars="300"/>
        <w:rPr>
          <w:rFonts w:ascii="宋体" w:hAnsi="宋体"/>
          <w:sz w:val="24"/>
          <w:szCs w:val="20"/>
        </w:rPr>
      </w:pPr>
      <w:r>
        <w:rPr>
          <w:rFonts w:hint="eastAsia" w:ascii="宋体" w:hAnsi="宋体"/>
          <w:sz w:val="24"/>
        </w:rPr>
        <w:t>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 xml:space="preserve">（响应供应商名称）的法定代表人，现授权委托本单位在职职工 </w:t>
      </w:r>
      <w:r>
        <w:rPr>
          <w:rFonts w:hint="eastAsia" w:ascii="宋体" w:hAnsi="宋体"/>
          <w:sz w:val="24"/>
          <w:u w:val="single"/>
        </w:rPr>
        <w:t xml:space="preserve">              </w:t>
      </w:r>
      <w:r>
        <w:rPr>
          <w:rFonts w:hint="eastAsia" w:ascii="宋体" w:hAnsi="宋体"/>
          <w:sz w:val="24"/>
        </w:rPr>
        <w:t>（姓名）以我方的名义参加</w:t>
      </w:r>
      <w:r>
        <w:rPr>
          <w:rFonts w:hint="eastAsia" w:ascii="宋体" w:hAnsi="宋体"/>
          <w:sz w:val="24"/>
          <w:u w:val="single"/>
        </w:rPr>
        <w:t xml:space="preserve">                     </w:t>
      </w:r>
      <w:r>
        <w:rPr>
          <w:rFonts w:hint="eastAsia" w:ascii="宋体" w:hAnsi="宋体"/>
          <w:sz w:val="24"/>
        </w:rPr>
        <w:t>项目的采购活动，并代表我方全权办理针对上述项目的响应、评审、签约等具体事务和签署相关文件。</w:t>
      </w:r>
    </w:p>
    <w:p>
      <w:pPr>
        <w:adjustRightInd w:val="0"/>
        <w:snapToGrid w:val="0"/>
        <w:spacing w:line="440" w:lineRule="exact"/>
        <w:rPr>
          <w:rFonts w:ascii="宋体" w:hAnsi="宋体"/>
          <w:sz w:val="24"/>
          <w:szCs w:val="20"/>
        </w:rPr>
      </w:pPr>
      <w:r>
        <w:rPr>
          <w:rFonts w:hint="eastAsia" w:ascii="宋体" w:hAnsi="宋体"/>
          <w:sz w:val="24"/>
        </w:rPr>
        <w:t xml:space="preserve">    我方对被授权人的签名事项负全部责任。</w:t>
      </w:r>
    </w:p>
    <w:p>
      <w:pPr>
        <w:adjustRightInd w:val="0"/>
        <w:snapToGrid w:val="0"/>
        <w:spacing w:line="440" w:lineRule="exact"/>
        <w:ind w:firstLine="482"/>
        <w:rPr>
          <w:rFonts w:ascii="宋体" w:hAnsi="宋体"/>
          <w:sz w:val="24"/>
          <w:szCs w:val="20"/>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adjustRightInd w:val="0"/>
        <w:snapToGrid w:val="0"/>
        <w:spacing w:line="440" w:lineRule="exact"/>
        <w:ind w:firstLine="482"/>
        <w:rPr>
          <w:rFonts w:ascii="宋体" w:hAnsi="宋体"/>
          <w:sz w:val="24"/>
          <w:szCs w:val="20"/>
        </w:rPr>
      </w:pPr>
      <w:r>
        <w:rPr>
          <w:rFonts w:hint="eastAsia" w:ascii="宋体" w:hAnsi="宋体"/>
          <w:sz w:val="24"/>
        </w:rPr>
        <w:t>被授权人无转委托权，特此委托。</w:t>
      </w:r>
    </w:p>
    <w:p>
      <w:pPr>
        <w:adjustRightInd w:val="0"/>
        <w:snapToGrid w:val="0"/>
        <w:spacing w:line="440" w:lineRule="exact"/>
        <w:rPr>
          <w:rFonts w:ascii="宋体" w:hAnsi="宋体"/>
          <w:sz w:val="24"/>
          <w:szCs w:val="20"/>
        </w:rPr>
      </w:pPr>
    </w:p>
    <w:p>
      <w:pPr>
        <w:adjustRightInd w:val="0"/>
        <w:snapToGrid w:val="0"/>
        <w:spacing w:line="440" w:lineRule="exact"/>
        <w:rPr>
          <w:rFonts w:ascii="宋体" w:hAnsi="宋体"/>
          <w:sz w:val="24"/>
          <w:szCs w:val="20"/>
          <w:u w:val="single"/>
        </w:rPr>
      </w:pPr>
      <w:r>
        <w:rPr>
          <w:rFonts w:hint="eastAsia" w:ascii="宋体" w:hAnsi="宋体"/>
          <w:sz w:val="24"/>
        </w:rPr>
        <w:t>被授权人签名：</w:t>
      </w:r>
      <w:r>
        <w:rPr>
          <w:rFonts w:hint="eastAsia" w:ascii="宋体" w:hAnsi="宋体"/>
          <w:sz w:val="24"/>
          <w:u w:val="single"/>
        </w:rPr>
        <w:t xml:space="preserve">          </w:t>
      </w:r>
      <w:r>
        <w:rPr>
          <w:rFonts w:hint="eastAsia" w:ascii="宋体" w:hAnsi="宋体"/>
          <w:sz w:val="24"/>
        </w:rPr>
        <w:t xml:space="preserve">                 法定代表人签名：</w:t>
      </w:r>
      <w:r>
        <w:rPr>
          <w:rFonts w:hint="eastAsia" w:ascii="宋体" w:hAnsi="宋体"/>
          <w:sz w:val="24"/>
          <w:u w:val="single"/>
        </w:rPr>
        <w:t xml:space="preserve">          </w:t>
      </w:r>
    </w:p>
    <w:p>
      <w:pPr>
        <w:adjustRightInd w:val="0"/>
        <w:snapToGrid w:val="0"/>
        <w:spacing w:line="440" w:lineRule="exact"/>
        <w:ind w:firstLine="960" w:firstLineChars="400"/>
        <w:rPr>
          <w:rFonts w:ascii="宋体" w:hAnsi="宋体"/>
          <w:sz w:val="24"/>
          <w:szCs w:val="24"/>
          <w:u w:val="single"/>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adjustRightInd w:val="0"/>
        <w:snapToGrid w:val="0"/>
        <w:spacing w:line="440" w:lineRule="exact"/>
        <w:ind w:firstLine="960" w:firstLineChars="400"/>
        <w:rPr>
          <w:rFonts w:ascii="宋体" w:hAnsi="宋体"/>
          <w:sz w:val="24"/>
          <w:szCs w:val="20"/>
        </w:rPr>
      </w:pPr>
      <w:r>
        <w:rPr>
          <w:rFonts w:hint="eastAsia" w:ascii="宋体" w:hAnsi="宋体"/>
          <w:sz w:val="24"/>
          <w:szCs w:val="20"/>
        </w:rPr>
        <w:t>联系电话：</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szCs w:val="20"/>
        </w:rPr>
        <w:t>联系电话：</w:t>
      </w:r>
      <w:r>
        <w:rPr>
          <w:rFonts w:hint="eastAsia" w:ascii="宋体" w:hAnsi="宋体"/>
          <w:sz w:val="24"/>
          <w:u w:val="single"/>
        </w:rPr>
        <w:t xml:space="preserve">              </w:t>
      </w:r>
    </w:p>
    <w:p>
      <w:pPr>
        <w:adjustRightInd w:val="0"/>
        <w:snapToGrid w:val="0"/>
        <w:spacing w:line="440" w:lineRule="exact"/>
        <w:rPr>
          <w:rFonts w:ascii="宋体" w:hAnsi="宋体"/>
          <w:sz w:val="24"/>
          <w:szCs w:val="20"/>
        </w:rPr>
      </w:pPr>
      <w:r>
        <w:rPr>
          <w:rFonts w:hint="eastAsia" w:ascii="宋体" w:hAnsi="宋体"/>
          <w:sz w:val="24"/>
        </w:rPr>
        <w:t>被授权人身份证号码：</w:t>
      </w:r>
      <w:r>
        <w:rPr>
          <w:rFonts w:hint="eastAsia" w:ascii="宋体" w:hAnsi="宋体"/>
          <w:sz w:val="24"/>
          <w:u w:val="single"/>
        </w:rPr>
        <w:t xml:space="preserve">                             </w:t>
      </w:r>
      <w:r>
        <w:rPr>
          <w:rFonts w:hint="eastAsia" w:ascii="宋体" w:hAnsi="宋体"/>
          <w:sz w:val="24"/>
        </w:rPr>
        <w:t xml:space="preserve"> </w:t>
      </w:r>
    </w:p>
    <w:p>
      <w:pPr>
        <w:adjustRightInd w:val="0"/>
        <w:snapToGrid w:val="0"/>
        <w:spacing w:line="440" w:lineRule="exact"/>
        <w:rPr>
          <w:rFonts w:ascii="宋体" w:hAnsi="宋体"/>
          <w:sz w:val="24"/>
          <w:szCs w:val="20"/>
        </w:rPr>
      </w:pPr>
      <w:r>
        <w:rPr>
          <w:rFonts w:hint="eastAsia" w:ascii="宋体" w:hAnsi="宋体"/>
          <w:sz w:val="24"/>
        </w:rPr>
        <w:t xml:space="preserve">                                     </w:t>
      </w:r>
      <w:r>
        <w:rPr>
          <w:rFonts w:hint="eastAsia" w:ascii="宋体" w:hAnsi="宋体" w:cs="宋体"/>
          <w:sz w:val="24"/>
        </w:rPr>
        <w:t>响应供应商（盖章）：</w:t>
      </w:r>
      <w:r>
        <w:rPr>
          <w:rFonts w:hint="eastAsia" w:ascii="宋体" w:hAnsi="宋体" w:cs="宋体"/>
          <w:sz w:val="24"/>
          <w:u w:val="single"/>
        </w:rPr>
        <w:t xml:space="preserve">               </w:t>
      </w:r>
    </w:p>
    <w:p>
      <w:pPr>
        <w:adjustRightInd w:val="0"/>
        <w:snapToGrid w:val="0"/>
        <w:spacing w:line="440" w:lineRule="exact"/>
        <w:jc w:val="center"/>
        <w:rPr>
          <w:rFonts w:ascii="宋体" w:hAnsi="宋体"/>
          <w:sz w:val="24"/>
          <w:szCs w:val="20"/>
        </w:rPr>
      </w:pPr>
      <w:r>
        <w:rPr>
          <w:rFonts w:hint="eastAsia" w:ascii="宋体" w:hAnsi="宋体"/>
          <w:sz w:val="24"/>
        </w:rPr>
        <w:t xml:space="preserve">                                        年    月    日</w:t>
      </w:r>
    </w:p>
    <w:p>
      <w:pPr>
        <w:snapToGrid w:val="0"/>
        <w:spacing w:before="156" w:beforeLines="50" w:after="50"/>
        <w:ind w:firstLine="3600" w:firstLineChars="1500"/>
        <w:rPr>
          <w:rFonts w:ascii="宋体" w:hAnsi="宋体"/>
          <w:sz w:val="24"/>
          <w:szCs w:val="20"/>
        </w:rPr>
      </w:pPr>
    </w:p>
    <w:p>
      <w:pPr>
        <w:snapToGrid w:val="0"/>
        <w:spacing w:before="156" w:beforeLines="50" w:after="50"/>
        <w:rPr>
          <w:rFonts w:ascii="宋体" w:hAnsi="宋体"/>
          <w:sz w:val="24"/>
          <w:szCs w:val="24"/>
        </w:rPr>
      </w:pPr>
      <w:r>
        <w:rPr>
          <w:rFonts w:hint="eastAsia" w:ascii="宋体" w:hAnsi="宋体"/>
          <w:sz w:val="24"/>
        </w:rPr>
        <w:t>法定代表人身份证扫描件：</w:t>
      </w:r>
    </w:p>
    <w:p>
      <w:pPr>
        <w:snapToGrid w:val="0"/>
        <w:spacing w:before="156" w:beforeLines="50" w:after="50"/>
        <w:rPr>
          <w:rFonts w:ascii="宋体" w:hAnsi="宋体"/>
          <w:sz w:val="24"/>
        </w:rPr>
      </w:pPr>
    </w:p>
    <w:p>
      <w:pPr>
        <w:snapToGrid w:val="0"/>
        <w:spacing w:before="156" w:beforeLines="50" w:after="50"/>
        <w:rPr>
          <w:rFonts w:ascii="宋体" w:hAnsi="宋体"/>
          <w:sz w:val="24"/>
        </w:rPr>
      </w:pPr>
    </w:p>
    <w:p>
      <w:pPr>
        <w:snapToGrid w:val="0"/>
        <w:spacing w:before="156" w:beforeLines="50" w:after="50"/>
        <w:rPr>
          <w:rFonts w:ascii="宋体" w:hAnsi="宋体"/>
          <w:sz w:val="24"/>
        </w:rPr>
      </w:pPr>
    </w:p>
    <w:p>
      <w:pPr>
        <w:snapToGrid w:val="0"/>
        <w:spacing w:before="156" w:beforeLines="50" w:after="50"/>
        <w:rPr>
          <w:rFonts w:ascii="宋体" w:hAnsi="宋体"/>
          <w:sz w:val="24"/>
        </w:rPr>
      </w:pPr>
      <w:r>
        <w:rPr>
          <w:rFonts w:hint="eastAsia" w:ascii="宋体" w:hAnsi="宋体"/>
          <w:sz w:val="24"/>
        </w:rPr>
        <w:t>被授权人身份证扫描件：</w:t>
      </w:r>
    </w:p>
    <w:p>
      <w:pPr>
        <w:snapToGrid w:val="0"/>
        <w:spacing w:before="156" w:beforeLines="50" w:after="50"/>
        <w:rPr>
          <w:rFonts w:ascii="宋体" w:hAnsi="宋体"/>
          <w:sz w:val="24"/>
        </w:rPr>
      </w:pPr>
    </w:p>
    <w:p>
      <w:pPr>
        <w:snapToGrid w:val="0"/>
        <w:spacing w:before="156" w:beforeLines="50" w:after="50"/>
        <w:rPr>
          <w:rFonts w:ascii="宋体" w:hAnsi="宋体"/>
          <w:sz w:val="24"/>
        </w:rPr>
      </w:pPr>
    </w:p>
    <w:p>
      <w:pPr>
        <w:snapToGrid w:val="0"/>
        <w:spacing w:before="156" w:beforeLines="50" w:after="50"/>
        <w:rPr>
          <w:rFonts w:ascii="宋体" w:hAnsi="宋体"/>
          <w:sz w:val="24"/>
        </w:rPr>
      </w:pPr>
    </w:p>
    <w:p/>
    <w:p/>
    <w:p/>
    <w:p/>
    <w:p>
      <w:pPr>
        <w:pStyle w:val="3"/>
        <w:spacing w:before="0" w:after="0" w:line="360" w:lineRule="auto"/>
        <w:ind w:firstLine="424" w:firstLineChars="151"/>
        <w:rPr>
          <w:sz w:val="28"/>
        </w:rPr>
      </w:pPr>
      <w:r>
        <w:rPr>
          <w:rFonts w:hint="eastAsia"/>
          <w:sz w:val="28"/>
        </w:rPr>
        <w:t>4.中小企业声明函格式</w:t>
      </w:r>
    </w:p>
    <w:p>
      <w:pPr>
        <w:snapToGrid w:val="0"/>
        <w:spacing w:before="156" w:beforeLines="50" w:after="50"/>
        <w:jc w:val="center"/>
        <w:rPr>
          <w:rFonts w:ascii="宋体" w:hAnsi="宋体" w:eastAsia="宋体" w:cs="宋体"/>
          <w:bCs/>
          <w:szCs w:val="21"/>
        </w:rPr>
      </w:pPr>
      <w:bookmarkStart w:id="7" w:name="_Toc12251"/>
      <w:r>
        <w:rPr>
          <w:rFonts w:hint="eastAsia" w:ascii="宋体" w:hAnsi="宋体" w:eastAsia="宋体" w:cs="宋体"/>
          <w:sz w:val="24"/>
          <w:szCs w:val="24"/>
        </w:rPr>
        <w:t xml:space="preserve">    </w:t>
      </w:r>
      <w:r>
        <w:rPr>
          <w:rFonts w:hint="eastAsia" w:ascii="宋体" w:hAnsi="宋体"/>
          <w:b/>
          <w:sz w:val="24"/>
        </w:rPr>
        <w:t>中小企业声明函（工程、服务）</w:t>
      </w:r>
      <w:bookmarkEnd w:id="7"/>
    </w:p>
    <w:p>
      <w:pPr>
        <w:snapToGrid w:val="0"/>
        <w:spacing w:before="156" w:beforeLines="50" w:after="50" w:line="440" w:lineRule="exact"/>
        <w:ind w:firstLine="480" w:firstLineChars="200"/>
        <w:rPr>
          <w:rFonts w:hAnsi="宋体" w:cs="宋体"/>
          <w:sz w:val="24"/>
        </w:rPr>
      </w:pPr>
      <w:r>
        <w:rPr>
          <w:rFonts w:hint="eastAsia" w:hAnsi="宋体" w:cs="宋体"/>
          <w:sz w:val="24"/>
        </w:rPr>
        <w:t>本公司（联合体）郑重声明，根据《政府采购促进中小企业发展管理办法》（财库﹝2020﹞46号）的规定，本公司（联合体）参加</w:t>
      </w:r>
      <w:r>
        <w:rPr>
          <w:rFonts w:hint="eastAsia" w:hAnsi="宋体" w:cs="宋体"/>
          <w:sz w:val="24"/>
          <w:u w:val="single"/>
        </w:rPr>
        <w:t xml:space="preserve">            （单位名称）</w:t>
      </w:r>
      <w:r>
        <w:rPr>
          <w:rFonts w:hint="eastAsia" w:hAnsi="宋体" w:cs="宋体"/>
          <w:sz w:val="24"/>
        </w:rPr>
        <w:t>的</w:t>
      </w:r>
      <w:r>
        <w:rPr>
          <w:rFonts w:hint="eastAsia" w:hAnsi="宋体" w:cs="宋体"/>
          <w:sz w:val="24"/>
          <w:u w:val="single"/>
        </w:rPr>
        <w:t xml:space="preserve">          （项目名称）</w:t>
      </w:r>
      <w:r>
        <w:rPr>
          <w:rFonts w:hint="eastAsia"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napToGrid w:val="0"/>
        <w:spacing w:before="156" w:beforeLines="50" w:after="50" w:line="440" w:lineRule="exact"/>
        <w:ind w:firstLine="480" w:firstLineChars="200"/>
        <w:rPr>
          <w:rFonts w:hAnsi="宋体" w:cs="宋体"/>
          <w:sz w:val="24"/>
        </w:rPr>
      </w:pPr>
      <w:r>
        <w:rPr>
          <w:rFonts w:hint="eastAsia" w:hAnsi="宋体" w:cs="宋体"/>
          <w:sz w:val="24"/>
        </w:rPr>
        <w:t>1.</w:t>
      </w:r>
      <w:r>
        <w:rPr>
          <w:rFonts w:hint="eastAsia" w:hAnsi="宋体" w:cs="宋体"/>
          <w:sz w:val="24"/>
          <w:u w:val="single"/>
        </w:rPr>
        <w:t xml:space="preserve">       （标的名称）</w:t>
      </w:r>
      <w:r>
        <w:rPr>
          <w:rFonts w:hint="eastAsia" w:hAnsi="宋体" w:cs="宋体"/>
          <w:sz w:val="24"/>
        </w:rPr>
        <w:t>，属于</w:t>
      </w:r>
      <w:r>
        <w:rPr>
          <w:rFonts w:hint="eastAsia" w:hAnsi="宋体" w:cs="宋体"/>
          <w:sz w:val="24"/>
          <w:u w:val="single"/>
        </w:rPr>
        <w:t xml:space="preserve">     （采购文件中明确的所属行业）</w:t>
      </w:r>
      <w:r>
        <w:rPr>
          <w:rFonts w:hint="eastAsia" w:hAnsi="宋体" w:cs="宋体"/>
          <w:sz w:val="24"/>
        </w:rPr>
        <w:t>；承建（承接）企业为</w:t>
      </w:r>
      <w:r>
        <w:rPr>
          <w:rFonts w:hint="eastAsia" w:hAnsi="宋体" w:cs="宋体"/>
          <w:sz w:val="24"/>
          <w:u w:val="single"/>
        </w:rPr>
        <w:t xml:space="preserve">      （企业名称）</w:t>
      </w:r>
      <w:r>
        <w:rPr>
          <w:rFonts w:hint="eastAsia" w:hAnsi="宋体" w:cs="宋体"/>
          <w:sz w:val="24"/>
        </w:rPr>
        <w:t>，从业人员</w:t>
      </w:r>
      <w:r>
        <w:rPr>
          <w:rFonts w:hint="eastAsia" w:hAnsi="宋体" w:cs="宋体"/>
          <w:sz w:val="24"/>
          <w:u w:val="single"/>
        </w:rPr>
        <w:t xml:space="preserve">     </w:t>
      </w:r>
      <w:r>
        <w:rPr>
          <w:rFonts w:hint="eastAsia" w:hAnsi="宋体" w:cs="宋体"/>
          <w:sz w:val="24"/>
        </w:rPr>
        <w:t>人，营业收入为</w:t>
      </w:r>
      <w:r>
        <w:rPr>
          <w:rFonts w:hint="eastAsia" w:hAnsi="宋体" w:cs="宋体"/>
          <w:sz w:val="24"/>
          <w:u w:val="single"/>
        </w:rPr>
        <w:t xml:space="preserve">     </w:t>
      </w:r>
      <w:r>
        <w:rPr>
          <w:rFonts w:hint="eastAsia" w:hAnsi="宋体" w:cs="宋体"/>
          <w:sz w:val="24"/>
        </w:rPr>
        <w:t>万元，资产总额为</w:t>
      </w:r>
      <w:r>
        <w:rPr>
          <w:rFonts w:hint="eastAsia" w:hAnsi="宋体" w:cs="宋体"/>
          <w:sz w:val="24"/>
          <w:u w:val="single"/>
        </w:rPr>
        <w:t xml:space="preserve">     </w:t>
      </w:r>
      <w:r>
        <w:rPr>
          <w:rFonts w:hint="eastAsia" w:hAnsi="宋体" w:cs="宋体"/>
          <w:sz w:val="24"/>
        </w:rPr>
        <w:t>万元</w:t>
      </w:r>
      <w:r>
        <w:rPr>
          <w:rFonts w:hint="eastAsia" w:hAnsi="宋体" w:cs="宋体"/>
          <w:sz w:val="24"/>
          <w:vertAlign w:val="superscript"/>
        </w:rPr>
        <w:t>1</w:t>
      </w:r>
      <w:r>
        <w:rPr>
          <w:rFonts w:hint="eastAsia" w:hAnsi="宋体" w:cs="宋体"/>
          <w:sz w:val="24"/>
        </w:rPr>
        <w:t>，属于</w:t>
      </w:r>
      <w:r>
        <w:rPr>
          <w:rFonts w:hint="eastAsia" w:hAnsi="宋体" w:cs="宋体"/>
          <w:sz w:val="24"/>
          <w:u w:val="single"/>
        </w:rPr>
        <w:t xml:space="preserve">       （中型企业、小型企业、微型企业）</w:t>
      </w:r>
      <w:r>
        <w:rPr>
          <w:rFonts w:hint="eastAsia" w:hAnsi="宋体" w:cs="宋体"/>
          <w:sz w:val="24"/>
        </w:rPr>
        <w:t>；</w:t>
      </w:r>
    </w:p>
    <w:p>
      <w:pPr>
        <w:snapToGrid w:val="0"/>
        <w:spacing w:before="156" w:beforeLines="50" w:after="50" w:line="440" w:lineRule="exact"/>
        <w:ind w:firstLine="480" w:firstLineChars="200"/>
        <w:rPr>
          <w:rFonts w:hAnsi="宋体" w:cs="宋体"/>
          <w:sz w:val="24"/>
        </w:rPr>
      </w:pPr>
      <w:r>
        <w:rPr>
          <w:rFonts w:hint="eastAsia" w:hAnsi="宋体" w:cs="宋体"/>
          <w:sz w:val="24"/>
        </w:rPr>
        <w:t>2.</w:t>
      </w:r>
      <w:r>
        <w:rPr>
          <w:rFonts w:hint="eastAsia" w:hAnsi="宋体" w:cs="宋体"/>
          <w:sz w:val="24"/>
          <w:u w:val="single"/>
        </w:rPr>
        <w:t xml:space="preserve">       （标的名称）</w:t>
      </w:r>
      <w:r>
        <w:rPr>
          <w:rFonts w:hint="eastAsia" w:hAnsi="宋体" w:cs="宋体"/>
          <w:sz w:val="24"/>
        </w:rPr>
        <w:t>，属于</w:t>
      </w:r>
      <w:r>
        <w:rPr>
          <w:rFonts w:hint="eastAsia" w:hAnsi="宋体" w:cs="宋体"/>
          <w:sz w:val="24"/>
          <w:u w:val="single"/>
        </w:rPr>
        <w:t xml:space="preserve">     （采购文件中明确的所属行业）</w:t>
      </w:r>
      <w:r>
        <w:rPr>
          <w:rFonts w:hint="eastAsia" w:hAnsi="宋体" w:cs="宋体"/>
          <w:sz w:val="24"/>
        </w:rPr>
        <w:t>；承建（承接）企业为</w:t>
      </w:r>
      <w:r>
        <w:rPr>
          <w:rFonts w:hint="eastAsia" w:hAnsi="宋体" w:cs="宋体"/>
          <w:sz w:val="24"/>
          <w:u w:val="single"/>
        </w:rPr>
        <w:t xml:space="preserve">      （企业名称）</w:t>
      </w:r>
      <w:r>
        <w:rPr>
          <w:rFonts w:hint="eastAsia" w:hAnsi="宋体" w:cs="宋体"/>
          <w:sz w:val="24"/>
        </w:rPr>
        <w:t>，从业人员</w:t>
      </w:r>
      <w:r>
        <w:rPr>
          <w:rFonts w:hint="eastAsia" w:hAnsi="宋体" w:cs="宋体"/>
          <w:sz w:val="24"/>
          <w:u w:val="single"/>
        </w:rPr>
        <w:t xml:space="preserve">     </w:t>
      </w:r>
      <w:r>
        <w:rPr>
          <w:rFonts w:hint="eastAsia" w:hAnsi="宋体" w:cs="宋体"/>
          <w:sz w:val="24"/>
        </w:rPr>
        <w:t>人，营业收入为</w:t>
      </w:r>
      <w:r>
        <w:rPr>
          <w:rFonts w:hint="eastAsia" w:hAnsi="宋体" w:cs="宋体"/>
          <w:sz w:val="24"/>
          <w:u w:val="single"/>
        </w:rPr>
        <w:t xml:space="preserve">     </w:t>
      </w:r>
      <w:r>
        <w:rPr>
          <w:rFonts w:hint="eastAsia" w:hAnsi="宋体" w:cs="宋体"/>
          <w:sz w:val="24"/>
        </w:rPr>
        <w:t>万元，资产总额为</w:t>
      </w:r>
      <w:r>
        <w:rPr>
          <w:rFonts w:hint="eastAsia" w:hAnsi="宋体" w:cs="宋体"/>
          <w:sz w:val="24"/>
          <w:u w:val="single"/>
        </w:rPr>
        <w:t xml:space="preserve">     </w:t>
      </w:r>
      <w:r>
        <w:rPr>
          <w:rFonts w:hint="eastAsia" w:hAnsi="宋体" w:cs="宋体"/>
          <w:sz w:val="24"/>
        </w:rPr>
        <w:t>万元，属于</w:t>
      </w:r>
      <w:r>
        <w:rPr>
          <w:rFonts w:hint="eastAsia" w:hAnsi="宋体" w:cs="宋体"/>
          <w:sz w:val="24"/>
          <w:u w:val="single"/>
        </w:rPr>
        <w:t xml:space="preserve">        （中型企业、小型企业、微型企业）</w:t>
      </w:r>
      <w:r>
        <w:rPr>
          <w:rFonts w:hint="eastAsia" w:hAnsi="宋体" w:cs="宋体"/>
          <w:sz w:val="24"/>
        </w:rPr>
        <w:t>；</w:t>
      </w:r>
    </w:p>
    <w:p>
      <w:pPr>
        <w:snapToGrid w:val="0"/>
        <w:spacing w:before="156" w:beforeLines="50" w:after="50" w:line="440" w:lineRule="exact"/>
        <w:ind w:firstLine="480" w:firstLineChars="200"/>
        <w:rPr>
          <w:rFonts w:hAnsi="宋体" w:cs="宋体"/>
          <w:sz w:val="24"/>
        </w:rPr>
      </w:pPr>
      <w:r>
        <w:rPr>
          <w:rFonts w:hint="eastAsia" w:hAnsi="宋体" w:cs="宋体"/>
          <w:sz w:val="24"/>
        </w:rPr>
        <w:t>……</w:t>
      </w:r>
    </w:p>
    <w:p>
      <w:pPr>
        <w:snapToGrid w:val="0"/>
        <w:spacing w:before="156" w:beforeLines="50" w:after="50" w:line="440" w:lineRule="exact"/>
        <w:ind w:firstLine="480" w:firstLineChars="200"/>
        <w:rPr>
          <w:rFonts w:hAnsi="宋体" w:cs="宋体"/>
          <w:sz w:val="24"/>
        </w:rPr>
      </w:pPr>
      <w:r>
        <w:rPr>
          <w:rFonts w:hint="eastAsia" w:hAnsi="宋体" w:cs="宋体"/>
          <w:sz w:val="24"/>
        </w:rPr>
        <w:t>以上企业，不属于大企业的分支机构，不存在控股股东为大企业的情形，也不存在与大企业的负责人为同一人的情形。</w:t>
      </w:r>
    </w:p>
    <w:p>
      <w:pPr>
        <w:snapToGrid w:val="0"/>
        <w:spacing w:before="156" w:beforeLines="50" w:after="50" w:line="440" w:lineRule="exact"/>
        <w:ind w:firstLine="480" w:firstLineChars="200"/>
        <w:rPr>
          <w:rFonts w:hAnsi="宋体" w:cs="宋体"/>
          <w:sz w:val="24"/>
        </w:rPr>
      </w:pPr>
      <w:r>
        <w:rPr>
          <w:rFonts w:hint="eastAsia" w:hAnsi="宋体" w:cs="宋体"/>
          <w:sz w:val="24"/>
        </w:rPr>
        <w:t>本企业对上述声明内容的真实性负责。如有虚假，将依法承担相应责任。</w:t>
      </w:r>
    </w:p>
    <w:p>
      <w:pPr>
        <w:snapToGrid w:val="0"/>
        <w:spacing w:before="156" w:beforeLines="50" w:after="50" w:line="440" w:lineRule="exact"/>
        <w:ind w:firstLine="480" w:firstLineChars="200"/>
        <w:rPr>
          <w:rFonts w:hAnsi="宋体" w:cs="宋体"/>
          <w:sz w:val="24"/>
          <w:u w:val="single"/>
        </w:rPr>
      </w:pPr>
      <w:r>
        <w:rPr>
          <w:rFonts w:hint="eastAsia" w:hAnsi="宋体" w:cs="宋体"/>
          <w:sz w:val="24"/>
        </w:rPr>
        <w:t xml:space="preserve">                           企业名称（盖章）： </w:t>
      </w:r>
      <w:r>
        <w:rPr>
          <w:rFonts w:hint="eastAsia" w:hAnsi="宋体" w:cs="宋体"/>
          <w:sz w:val="24"/>
          <w:u w:val="single"/>
        </w:rPr>
        <w:t xml:space="preserve">            </w:t>
      </w:r>
    </w:p>
    <w:p>
      <w:pPr>
        <w:snapToGrid w:val="0"/>
        <w:spacing w:before="156" w:beforeLines="50" w:after="50" w:line="440" w:lineRule="exact"/>
        <w:ind w:firstLine="480" w:firstLineChars="200"/>
        <w:rPr>
          <w:rFonts w:hAnsi="宋体" w:cs="宋体"/>
          <w:sz w:val="24"/>
          <w:u w:val="single"/>
        </w:rPr>
      </w:pPr>
      <w:r>
        <w:rPr>
          <w:rFonts w:hint="eastAsia" w:hAnsi="宋体" w:cs="宋体"/>
          <w:sz w:val="24"/>
        </w:rPr>
        <w:t xml:space="preserve">                           日 期：</w:t>
      </w:r>
      <w:r>
        <w:rPr>
          <w:rFonts w:hint="eastAsia" w:hAnsi="宋体" w:cs="宋体"/>
          <w:sz w:val="24"/>
          <w:u w:val="single"/>
        </w:rPr>
        <w:t xml:space="preserve">            </w:t>
      </w:r>
      <w:bookmarkStart w:id="8" w:name="_Toc12095"/>
    </w:p>
    <w:p>
      <w:pPr>
        <w:snapToGrid w:val="0"/>
        <w:spacing w:before="156" w:beforeLines="50" w:after="50" w:line="440" w:lineRule="exact"/>
        <w:ind w:firstLine="480" w:firstLineChars="200"/>
        <w:rPr>
          <w:rFonts w:hAnsi="宋体" w:cs="宋体"/>
          <w:sz w:val="24"/>
          <w:u w:val="single"/>
        </w:rPr>
      </w:pPr>
      <w:r>
        <w:rPr>
          <w:rFonts w:hint="eastAsia" w:hAnsi="宋体" w:cs="宋体"/>
          <w:sz w:val="24"/>
          <w:u w:val="single"/>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305435</wp:posOffset>
                </wp:positionV>
                <wp:extent cx="1885950" cy="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4.75pt;margin-top:24.05pt;height:0pt;width:148.5pt;z-index:251659264;mso-width-relative:page;mso-height-relative:page;" filled="f" stroked="t" coordsize="21600,21600" o:gfxdata="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LmzQbWAAAACAEAAA8AAAAAAAAAAQAgAAAAIgAAAGRycy9kb3ducmV2LnhtbFBLAQIUABQAAAAI&#10;AIdO4kC+uDab7wEAANMDAAAOAAAAAAAAAAEAIAAAACUBAABkcnMvZTJvRG9jLnhtbFBLBQYAAAAA&#10;BgAGAFkBAACGBQAAAAA=&#10;">
                <v:fill on="f" focussize="0,0"/>
                <v:stroke color="#000000 [3200]" joinstyle="round"/>
                <v:imagedata o:title=""/>
                <o:lock v:ext="edit" aspectratio="f"/>
              </v:line>
            </w:pict>
          </mc:Fallback>
        </mc:AlternateContent>
      </w:r>
    </w:p>
    <w:p>
      <w:pPr>
        <w:snapToGrid w:val="0"/>
        <w:spacing w:before="156" w:beforeLines="50" w:after="50" w:line="440" w:lineRule="exact"/>
        <w:ind w:firstLine="480" w:firstLineChars="200"/>
        <w:rPr>
          <w:rFonts w:hAnsi="宋体" w:cs="宋体"/>
          <w:sz w:val="24"/>
        </w:rPr>
      </w:pPr>
      <w:r>
        <w:rPr>
          <w:rFonts w:hint="eastAsia" w:hAnsi="宋体" w:cs="宋体"/>
          <w:sz w:val="24"/>
          <w:vertAlign w:val="superscript"/>
        </w:rPr>
        <w:t>1</w:t>
      </w:r>
      <w:r>
        <w:rPr>
          <w:rFonts w:hAnsi="宋体" w:cs="宋体"/>
          <w:sz w:val="24"/>
        </w:rPr>
        <w:t>从业人员、营业收入、资产总额填报上一年度数据，无上一年度数据的新成立企业可不填报。</w:t>
      </w:r>
    </w:p>
    <w:p>
      <w:pPr>
        <w:snapToGrid w:val="0"/>
        <w:spacing w:before="156" w:beforeLines="50" w:after="50" w:line="440" w:lineRule="exact"/>
        <w:ind w:firstLine="560" w:firstLineChars="200"/>
        <w:rPr>
          <w:rFonts w:ascii="宋体" w:hAnsi="宋体" w:cs="宋体"/>
          <w:sz w:val="28"/>
          <w:szCs w:val="28"/>
        </w:rPr>
        <w:sectPr>
          <w:pgSz w:w="11906" w:h="16838"/>
          <w:pgMar w:top="1440" w:right="1800" w:bottom="1440" w:left="1800" w:header="851" w:footer="992" w:gutter="0"/>
          <w:cols w:space="425" w:num="1"/>
          <w:docGrid w:type="lines" w:linePitch="312" w:charSpace="0"/>
        </w:sectPr>
      </w:pPr>
    </w:p>
    <w:bookmarkEnd w:id="8"/>
    <w:p>
      <w:pPr>
        <w:pStyle w:val="3"/>
        <w:spacing w:before="0" w:after="0" w:line="360" w:lineRule="auto"/>
        <w:ind w:firstLine="424" w:firstLineChars="151"/>
        <w:rPr>
          <w:sz w:val="28"/>
        </w:rPr>
      </w:pPr>
      <w:r>
        <w:rPr>
          <w:rFonts w:hint="eastAsia"/>
          <w:sz w:val="28"/>
        </w:rPr>
        <w:t>5.残疾人福利性单位声明函格式</w:t>
      </w:r>
    </w:p>
    <w:p>
      <w:pPr>
        <w:rPr>
          <w:rFonts w:ascii="宋体" w:hAnsi="宋体"/>
          <w:sz w:val="24"/>
        </w:rPr>
      </w:pPr>
    </w:p>
    <w:p>
      <w:pPr>
        <w:snapToGrid w:val="0"/>
        <w:spacing w:before="156" w:beforeLines="50" w:after="50"/>
        <w:ind w:firstLine="482"/>
        <w:jc w:val="center"/>
        <w:rPr>
          <w:rFonts w:ascii="宋体" w:hAnsi="宋体"/>
          <w:b/>
          <w:sz w:val="24"/>
        </w:rPr>
      </w:pPr>
      <w:bookmarkStart w:id="9" w:name="_Toc16470"/>
      <w:bookmarkStart w:id="10" w:name="_Toc9710"/>
      <w:bookmarkStart w:id="11" w:name="_Toc2674"/>
      <w:bookmarkStart w:id="12" w:name="_Toc1258"/>
      <w:r>
        <w:rPr>
          <w:rFonts w:hint="eastAsia" w:ascii="宋体" w:hAnsi="宋体"/>
          <w:b/>
          <w:sz w:val="24"/>
        </w:rPr>
        <w:t>残疾人福利性单位声明函</w:t>
      </w:r>
      <w:bookmarkEnd w:id="9"/>
      <w:bookmarkEnd w:id="10"/>
      <w:bookmarkEnd w:id="11"/>
      <w:bookmarkEnd w:id="12"/>
    </w:p>
    <w:p>
      <w:pPr>
        <w:spacing w:line="600" w:lineRule="exact"/>
        <w:ind w:firstLine="480" w:firstLineChars="200"/>
        <w:rPr>
          <w:rFonts w:hAnsi="宋体" w:cs="宋体"/>
          <w:sz w:val="24"/>
        </w:rPr>
      </w:pPr>
      <w:r>
        <w:rPr>
          <w:rFonts w:hint="eastAsia" w:hAnsi="宋体" w:cs="宋体"/>
          <w:sz w:val="24"/>
        </w:rPr>
        <w:t>本单位郑重声明，根据《财政部 民政部 中国残疾人联合会关于促进残疾人就业政府采购政策的通知》（财库〔2017〕141号）的规定，本单位为符合条件的残疾人福利性单位，且本单位参加</w:t>
      </w:r>
      <w:r>
        <w:rPr>
          <w:rFonts w:hint="eastAsia" w:hAnsi="宋体" w:cs="宋体"/>
          <w:sz w:val="24"/>
          <w:u w:val="single"/>
        </w:rPr>
        <w:t xml:space="preserve">           </w:t>
      </w:r>
      <w:r>
        <w:rPr>
          <w:rFonts w:hint="eastAsia" w:hAnsi="宋体" w:cs="宋体"/>
          <w:sz w:val="24"/>
        </w:rPr>
        <w:t>单位的</w:t>
      </w:r>
      <w:r>
        <w:rPr>
          <w:rFonts w:hint="eastAsia" w:hAnsi="宋体" w:cs="宋体"/>
          <w:sz w:val="24"/>
          <w:u w:val="single"/>
        </w:rPr>
        <w:t xml:space="preserve">           </w:t>
      </w:r>
      <w:r>
        <w:rPr>
          <w:rFonts w:hint="eastAsia" w:hAnsi="宋体" w:cs="宋体"/>
          <w:sz w:val="24"/>
        </w:rPr>
        <w:t>项目采购活动提供本单位制造的货物（由本单位承担工程/提供服务），或者提供其他残疾人福利性单位制造的货物（不包括使用非残疾人福利性单位注册商标的货物）。</w:t>
      </w:r>
    </w:p>
    <w:p>
      <w:pPr>
        <w:spacing w:line="600" w:lineRule="exact"/>
        <w:ind w:firstLine="480" w:firstLineChars="200"/>
        <w:rPr>
          <w:rFonts w:hAnsi="宋体" w:cs="宋体"/>
          <w:sz w:val="24"/>
        </w:rPr>
      </w:pPr>
      <w:r>
        <w:rPr>
          <w:rFonts w:hint="eastAsia" w:hAnsi="宋体" w:cs="宋体"/>
          <w:sz w:val="24"/>
        </w:rPr>
        <w:t>本单位对上述声明的真实性负责。如有虚假，将依法承担相应责任。</w:t>
      </w:r>
    </w:p>
    <w:p>
      <w:pPr>
        <w:spacing w:line="600" w:lineRule="exact"/>
        <w:ind w:firstLine="480" w:firstLineChars="200"/>
        <w:jc w:val="center"/>
        <w:rPr>
          <w:rFonts w:hAnsi="宋体" w:cs="宋体"/>
          <w:sz w:val="24"/>
          <w:u w:val="single"/>
        </w:rPr>
      </w:pPr>
      <w:r>
        <w:rPr>
          <w:rFonts w:hint="eastAsia" w:hAnsi="宋体" w:cs="宋体"/>
          <w:sz w:val="24"/>
        </w:rPr>
        <w:t xml:space="preserve">单位名称（盖章）： </w:t>
      </w:r>
      <w:r>
        <w:rPr>
          <w:rFonts w:hint="eastAsia" w:hAnsi="宋体" w:cs="宋体"/>
          <w:sz w:val="24"/>
          <w:u w:val="single"/>
        </w:rPr>
        <w:t xml:space="preserve">          </w:t>
      </w:r>
    </w:p>
    <w:p>
      <w:pPr>
        <w:spacing w:line="600" w:lineRule="exact"/>
        <w:ind w:firstLine="480" w:firstLineChars="200"/>
        <w:jc w:val="center"/>
        <w:rPr>
          <w:rFonts w:hAnsi="宋体" w:cs="宋体"/>
          <w:sz w:val="24"/>
          <w:u w:val="single"/>
        </w:rPr>
      </w:pPr>
      <w:r>
        <w:rPr>
          <w:rFonts w:hint="eastAsia" w:hAnsi="宋体" w:cs="宋体"/>
          <w:sz w:val="24"/>
        </w:rPr>
        <w:t>日  期：</w:t>
      </w:r>
      <w:r>
        <w:rPr>
          <w:rFonts w:hint="eastAsia" w:hAnsi="宋体" w:cs="宋体"/>
          <w:sz w:val="24"/>
          <w:u w:val="single"/>
        </w:rPr>
        <w:t xml:space="preserve">                </w:t>
      </w:r>
    </w:p>
    <w:p>
      <w:pPr>
        <w:snapToGrid w:val="0"/>
        <w:spacing w:line="400" w:lineRule="exact"/>
        <w:jc w:val="left"/>
        <w:rPr>
          <w:rFonts w:ascii="宋体" w:hAnsi="宋体" w:cs="Times New Roman"/>
          <w:sz w:val="24"/>
          <w:szCs w:val="24"/>
        </w:rPr>
        <w:sectPr>
          <w:pgSz w:w="11906" w:h="16838"/>
          <w:pgMar w:top="1440" w:right="1800" w:bottom="1440" w:left="1800" w:header="851" w:footer="992" w:gutter="0"/>
          <w:cols w:space="425" w:num="1"/>
          <w:docGrid w:type="lines" w:linePitch="312" w:charSpace="0"/>
        </w:sectPr>
      </w:pPr>
    </w:p>
    <w:p>
      <w:pPr>
        <w:pStyle w:val="3"/>
        <w:spacing w:before="0" w:after="0" w:line="360" w:lineRule="auto"/>
        <w:ind w:firstLine="424" w:firstLineChars="151"/>
        <w:rPr>
          <w:sz w:val="28"/>
        </w:rPr>
      </w:pPr>
      <w:r>
        <w:rPr>
          <w:rFonts w:hint="eastAsia"/>
          <w:sz w:val="28"/>
        </w:rPr>
        <w:t>6.承诺书格式</w:t>
      </w:r>
    </w:p>
    <w:p>
      <w:pPr>
        <w:snapToGrid w:val="0"/>
        <w:spacing w:before="156" w:beforeLines="50" w:after="50"/>
        <w:ind w:firstLine="482"/>
        <w:jc w:val="center"/>
        <w:rPr>
          <w:rFonts w:ascii="宋体" w:hAnsi="宋体"/>
          <w:b/>
          <w:sz w:val="24"/>
        </w:rPr>
      </w:pPr>
      <w:r>
        <w:rPr>
          <w:rFonts w:hint="eastAsia" w:ascii="宋体" w:hAnsi="宋体"/>
          <w:b/>
          <w:sz w:val="24"/>
        </w:rPr>
        <w:t>承 诺 书</w:t>
      </w:r>
    </w:p>
    <w:p>
      <w:pPr>
        <w:adjustRightInd w:val="0"/>
        <w:snapToGrid w:val="0"/>
        <w:spacing w:line="440" w:lineRule="exact"/>
        <w:ind w:firstLine="480" w:firstLineChars="200"/>
        <w:rPr>
          <w:rFonts w:ascii="宋体" w:hAnsi="宋体" w:eastAsia="宋体" w:cs="宋体"/>
          <w:sz w:val="24"/>
          <w:szCs w:val="24"/>
          <w:u w:val="single"/>
        </w:rPr>
      </w:pPr>
      <w:r>
        <w:rPr>
          <w:rFonts w:hint="eastAsia" w:ascii="宋体" w:hAnsi="宋体" w:cs="宋体"/>
          <w:sz w:val="24"/>
          <w:u w:val="single"/>
        </w:rPr>
        <w:t xml:space="preserve">浦江县财政项目预算审核中心 </w:t>
      </w:r>
      <w:r>
        <w:rPr>
          <w:rFonts w:hint="eastAsia" w:ascii="宋体" w:hAnsi="宋体" w:eastAsia="宋体" w:cs="宋体"/>
          <w:sz w:val="24"/>
          <w:szCs w:val="24"/>
          <w:u w:val="single"/>
        </w:rPr>
        <w:t>、金华市公共资源交易中心浦江县分中心：</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根据</w:t>
      </w:r>
      <w:r>
        <w:rPr>
          <w:rFonts w:hint="eastAsia" w:ascii="宋体" w:hAnsi="宋体" w:eastAsia="宋体" w:cs="宋体"/>
          <w:sz w:val="24"/>
          <w:szCs w:val="24"/>
          <w:u w:val="single"/>
        </w:rPr>
        <w:t>2024-2026年度浦江县政府投资项目审核服务第三方机构封闭式框架协议项目</w:t>
      </w:r>
      <w:r>
        <w:rPr>
          <w:rFonts w:hint="eastAsia" w:ascii="宋体" w:hAnsi="宋体" w:eastAsia="宋体" w:cs="宋体"/>
          <w:sz w:val="24"/>
          <w:szCs w:val="24"/>
        </w:rPr>
        <w:t>，项目编号：</w:t>
      </w:r>
      <w:r>
        <w:rPr>
          <w:rFonts w:hint="eastAsia" w:ascii="宋体" w:hAnsi="宋体" w:eastAsia="宋体" w:cs="宋体"/>
          <w:sz w:val="24"/>
          <w:szCs w:val="24"/>
          <w:u w:val="single"/>
        </w:rPr>
        <w:t>ZPKJ2024-001</w:t>
      </w:r>
      <w:r>
        <w:rPr>
          <w:rFonts w:hint="eastAsia" w:ascii="宋体" w:hAnsi="宋体" w:eastAsia="宋体" w:cs="宋体"/>
          <w:sz w:val="24"/>
          <w:szCs w:val="24"/>
        </w:rPr>
        <w:t>要求，我方在入围范围内郑重承诺如下：</w:t>
      </w:r>
    </w:p>
    <w:p>
      <w:pPr>
        <w:adjustRightInd w:val="0"/>
        <w:snapToGrid w:val="0"/>
        <w:spacing w:line="440" w:lineRule="exact"/>
        <w:ind w:firstLine="480" w:firstLineChars="200"/>
        <w:rPr>
          <w:rFonts w:ascii="宋体" w:hAnsi="宋体" w:eastAsia="宋体" w:cs="宋体"/>
          <w:strike/>
          <w:sz w:val="24"/>
          <w:szCs w:val="24"/>
        </w:rPr>
      </w:pPr>
      <w:r>
        <w:rPr>
          <w:rFonts w:hint="eastAsia" w:ascii="宋体" w:hAnsi="宋体" w:eastAsia="宋体" w:cs="宋体"/>
          <w:sz w:val="24"/>
          <w:szCs w:val="24"/>
        </w:rPr>
        <w:t>一、我方承诺按计件收费标准。</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二、我方保证对自身及在协议履行期间的行为承担责任，保证如发现我方因自身原因违反征集文件、响应文件、协议的有关规定或承诺，征集人可以根据上述文件材料规定做出处理，政府采购监督管理部门有权根据《中华人民共和国政府采购法》等法律法规对我方进行处罚，直至取消我方入围资格，情节严重的，列入政府采购不良供应商名单并追究法律责任。</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三、我方承诺按照征集文件、《2024-2026年度浦江县政府投资项目审核服务第三方机构封闭式框架协议》要求执行。</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四、我方承诺严格遵守国家法律法规，认真执行国家和相关行业各项管理法规及规范性文件，合法经营，按章办事，诚实守信，自觉维护国家机关、事业单位和社会团体的利益。</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五、我方承诺成立服务团队，积极受理审核服务，服务期间相关咨询、业务分办、项目异议及服务投诉，并定期回访采购人。在受理投诉24小时内，了解核实情况，经核实确属我方相关当事人员责任的，应按照相关规定予以处理，于7个工作日内将处理结果告知投诉人。</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我单位24小时服务电话：</w:t>
      </w:r>
      <w:r>
        <w:rPr>
          <w:rFonts w:hint="eastAsia" w:ascii="宋体" w:hAnsi="宋体" w:eastAsia="宋体" w:cs="宋体"/>
          <w:sz w:val="24"/>
          <w:szCs w:val="24"/>
          <w:u w:val="single"/>
        </w:rPr>
        <w:t xml:space="preserve">          </w:t>
      </w:r>
      <w:r>
        <w:rPr>
          <w:rFonts w:hint="eastAsia" w:ascii="宋体" w:hAnsi="宋体" w:eastAsia="宋体" w:cs="宋体"/>
          <w:sz w:val="24"/>
          <w:szCs w:val="24"/>
        </w:rPr>
        <w:t>，总协调人：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，职务： </w:t>
      </w:r>
      <w:r>
        <w:rPr>
          <w:rFonts w:hint="eastAsia" w:ascii="宋体" w:hAnsi="宋体" w:eastAsia="宋体" w:cs="宋体"/>
          <w:sz w:val="24"/>
          <w:szCs w:val="24"/>
          <w:u w:val="single"/>
        </w:rPr>
        <w:t xml:space="preserve">          </w:t>
      </w:r>
      <w:r>
        <w:rPr>
          <w:rFonts w:hint="eastAsia" w:ascii="宋体" w:hAnsi="宋体" w:eastAsia="宋体" w:cs="宋体"/>
          <w:sz w:val="24"/>
          <w:szCs w:val="24"/>
        </w:rPr>
        <w:t>，办公电话：</w:t>
      </w:r>
      <w:r>
        <w:rPr>
          <w:rFonts w:hint="eastAsia" w:ascii="宋体" w:hAnsi="宋体" w:eastAsia="宋体" w:cs="宋体"/>
          <w:sz w:val="24"/>
          <w:szCs w:val="24"/>
          <w:u w:val="single"/>
        </w:rPr>
        <w:t xml:space="preserve">          </w:t>
      </w:r>
      <w:r>
        <w:rPr>
          <w:rFonts w:hint="eastAsia" w:ascii="宋体" w:hAnsi="宋体" w:eastAsia="宋体" w:cs="宋体"/>
          <w:sz w:val="24"/>
          <w:szCs w:val="24"/>
        </w:rPr>
        <w:t>，手机：</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六、我方承诺依据采购人出具的有效函件（如公函、组织机构代码证等证明）或签署的合同、协议等实施审核服务，原则上不得要求采购人提供押金、抵押、信用授权等。如有特殊情况将与采购人协商，取得采购人同意后方予实施。</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七、我方承诺做到以下服务要求：</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1.自觉遵守相关法律法规及有关规定，严格执行审核服务，遵守廉政纪律和职业道德，保守采购人、服务对象及相关当事人资料数据的秘密；</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2.严格按照采购人的有关规定和要求实施审核服务，按采购人的质量和进度要求及时提供结果、报告以及与服务事项相关的资料，按规定的格式、要求起草有关文书和相关材料；</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3.不得将承接的业务对外转包，不以任何借口违反审核相关准则和质量控制准则，降低执业（工作）质量；</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4.愿意接受相关部门对项目质量的审查考核。</w:t>
      </w:r>
    </w:p>
    <w:p>
      <w:pPr>
        <w:adjustRightInd w:val="0"/>
        <w:snapToGrid w:val="0"/>
        <w:spacing w:line="440" w:lineRule="exact"/>
        <w:ind w:firstLine="480" w:firstLineChars="200"/>
        <w:rPr>
          <w:rFonts w:ascii="宋体" w:hAnsi="宋体" w:eastAsia="宋体" w:cs="宋体"/>
          <w:color w:val="C00000"/>
          <w:sz w:val="24"/>
          <w:szCs w:val="24"/>
        </w:rPr>
      </w:pPr>
      <w:r>
        <w:rPr>
          <w:rFonts w:hint="eastAsia" w:ascii="宋体" w:hAnsi="宋体" w:eastAsia="宋体" w:cs="宋体"/>
          <w:sz w:val="24"/>
          <w:szCs w:val="24"/>
        </w:rPr>
        <w:t>5</w:t>
      </w:r>
      <w:r>
        <w:rPr>
          <w:rFonts w:hint="eastAsia" w:ascii="宋体" w:hAnsi="宋体" w:eastAsia="宋体" w:cs="宋体"/>
          <w:color w:val="C00000"/>
          <w:sz w:val="24"/>
          <w:szCs w:val="24"/>
        </w:rPr>
        <w:t>.</w:t>
      </w:r>
      <w:r>
        <w:rPr>
          <w:rFonts w:hint="eastAsia"/>
          <w:sz w:val="24"/>
        </w:rPr>
        <w:t>针对本项目派出的项目人员须至少包括全国一级注册造价工程师4人，建筑、安装、水利、公路等专业，其中建筑、安装、水利、公路等专业（一级注册造价工程师）至少各一名。</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6.入围后按本项目征集文件的规定和入围通知书的要求及时与征集人签订框架协议，无正当理由不得主动放弃入围资格或者退出框架协议。</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7.第一阶段的响应报价（协议价格）是采购人确定第二阶段成交供应商的最高限价。在政采云系统中接到采购人订单（采购人合同授予）后，无正当理由不得拖延、拒绝、取消订单，应按本项目征集文件、框架协议规定及时与采购人签订合同。</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8.按征集文件规定的要求和合同文本格式编制合同。</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9.与采购人签订合同后应积极履行合同义务，按约定的时间和要求完成审核服务、出具报告，并通过采购人验收。</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10.在协议期内，如有信息变更（如变更法定代表人、主要负责人、联系人、联系电话、地址等），应及时在政采云系统中更新相关信息并通知征集人，按征集人要求提供相关资料备案。</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11.在协议期内，应遵守和履行本项目征集文件、框架协议的各项规定，遵守电子系统的操作规定和交易规则，积极配合征集人和采购监管部门的工作。</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八、我方具有健全内部控制和监督机制。</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九、我方具有项目所必需的设备和专业技术能力。</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十、我方具有开展审核服务的人员和能力并承担相应风险，能够依法维护委托人的权益并保守秘密。</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十一、贵方决定延长服务有效期，可通过“浙江政府采购网”公示，我方承诺若未在七日内提出书面异议的，视为接受贵方的要求。</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十二、我方承诺无条件满足征集文件的各项要求。</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十三、我方承诺按照国家、地方最新政策标准执行。</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十四、我方承诺对获知的所有有形、无形的信息及资料（包括但不限于双方的往来书面文字文件、电子邮件及信息、软盘资料等）中的商业秘密或国家秘密承担保密义务。我公司承诺按照采购人的需要签订保密协议。</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十五、我方承诺遵守促进绿色发展有关政策。供应商向采购人提供商品及相关快递服务的，其包装要参考财政部办公厅、生态环境部办公厅、国家邮政局办公室印发的《商品包装政府采购需求标准（试行）》《快递包装政府采购需求标准（试行）》（财办库〔2020〕123号文件）。提倡供应商优先采购绿色包装产品、绿色物流配送服务以及循环利用产品。</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十六、我方谨承诺，除上述内容外，响应文件中全部信息及承诺内容以及在浙江政府采购网所填报的全部信息将成为本协议不可分割的一部分。</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本协议自我方盖章之日起至协议期满有效。</w:t>
      </w:r>
      <w:r>
        <w:rPr>
          <w:rFonts w:ascii="宋体" w:hAnsi="宋体" w:eastAsia="宋体" w:cs="宋体"/>
          <w:sz w:val="24"/>
          <w:szCs w:val="24"/>
        </w:rPr>
        <w:t xml:space="preserve">  </w:t>
      </w:r>
    </w:p>
    <w:p>
      <w:pPr>
        <w:adjustRightInd w:val="0"/>
        <w:snapToGrid w:val="0"/>
        <w:spacing w:line="440" w:lineRule="exact"/>
        <w:ind w:firstLine="480" w:firstLineChars="200"/>
        <w:rPr>
          <w:rFonts w:ascii="宋体" w:hAnsi="宋体" w:eastAsia="宋体" w:cs="宋体"/>
          <w:sz w:val="24"/>
          <w:szCs w:val="24"/>
        </w:rPr>
      </w:pPr>
    </w:p>
    <w:p>
      <w:pPr>
        <w:pStyle w:val="7"/>
        <w:snapToGrid w:val="0"/>
        <w:ind w:firstLine="480" w:firstLineChars="200"/>
        <w:jc w:val="center"/>
        <w:rPr>
          <w:rFonts w:ascii="宋体" w:hAnsi="宋体" w:eastAsia="宋体"/>
          <w:sz w:val="24"/>
          <w:u w:val="single"/>
        </w:rPr>
      </w:pPr>
      <w:r>
        <w:rPr>
          <w:rFonts w:hint="eastAsia" w:ascii="宋体" w:hAnsi="宋体" w:eastAsia="宋体" w:cs="宋体"/>
          <w:sz w:val="24"/>
          <w:szCs w:val="24"/>
        </w:rPr>
        <w:t>法定代表人或其授权代表（签字或盖章）</w:t>
      </w:r>
      <w:r>
        <w:rPr>
          <w:rFonts w:hint="eastAsia" w:ascii="宋体" w:hAnsi="宋体" w:eastAsia="宋体"/>
          <w:sz w:val="24"/>
        </w:rPr>
        <w:t>：</w:t>
      </w:r>
      <w:r>
        <w:rPr>
          <w:rFonts w:hint="eastAsia" w:ascii="宋体" w:hAnsi="宋体" w:eastAsia="宋体"/>
          <w:sz w:val="24"/>
          <w:u w:val="single"/>
        </w:rPr>
        <w:t xml:space="preserve">             　　</w:t>
      </w:r>
    </w:p>
    <w:p>
      <w:pPr>
        <w:snapToGrid w:val="0"/>
        <w:spacing w:before="50"/>
        <w:ind w:left="479" w:leftChars="228"/>
        <w:jc w:val="center"/>
        <w:rPr>
          <w:rFonts w:ascii="宋体" w:hAnsi="宋体" w:eastAsia="宋体"/>
          <w:sz w:val="24"/>
        </w:rPr>
      </w:pPr>
      <w:r>
        <w:rPr>
          <w:rFonts w:hint="eastAsia" w:ascii="宋体" w:hAnsi="宋体"/>
          <w:sz w:val="24"/>
        </w:rPr>
        <w:t xml:space="preserve">                  </w:t>
      </w:r>
      <w:r>
        <w:rPr>
          <w:rFonts w:hint="eastAsia" w:ascii="宋体" w:hAnsi="宋体" w:cs="宋体"/>
          <w:sz w:val="24"/>
        </w:rPr>
        <w:t>响应供应商（盖章）</w:t>
      </w:r>
      <w:r>
        <w:rPr>
          <w:rFonts w:hint="eastAsia" w:ascii="宋体" w:hAnsi="宋体"/>
          <w:sz w:val="24"/>
        </w:rPr>
        <w:t>：</w:t>
      </w:r>
      <w:r>
        <w:rPr>
          <w:rFonts w:hint="eastAsia" w:ascii="宋体" w:hAnsi="宋体"/>
          <w:sz w:val="24"/>
          <w:u w:val="single"/>
        </w:rPr>
        <w:t xml:space="preserve">                 </w:t>
      </w:r>
      <w:r>
        <w:rPr>
          <w:rFonts w:hint="eastAsia" w:ascii="宋体" w:hAnsi="宋体"/>
          <w:sz w:val="24"/>
        </w:rPr>
        <w:t xml:space="preserve">                                           </w:t>
      </w:r>
    </w:p>
    <w:p>
      <w:pPr>
        <w:snapToGrid w:val="0"/>
        <w:spacing w:line="440" w:lineRule="exact"/>
        <w:jc w:val="right"/>
        <w:sectPr>
          <w:pgSz w:w="11906" w:h="16838"/>
          <w:pgMar w:top="1440" w:right="1797" w:bottom="1440" w:left="1797" w:header="851" w:footer="992" w:gutter="0"/>
          <w:cols w:space="425" w:num="1"/>
          <w:docGrid w:type="lines" w:linePitch="312" w:charSpace="0"/>
        </w:sectPr>
      </w:pPr>
      <w:r>
        <w:rPr>
          <w:rFonts w:hint="eastAsia" w:ascii="宋体" w:hAnsi="宋体"/>
          <w:sz w:val="24"/>
        </w:rPr>
        <w:t>年    月   日</w:t>
      </w:r>
    </w:p>
    <w:p>
      <w:pPr>
        <w:pStyle w:val="3"/>
        <w:spacing w:before="0" w:after="0" w:line="360" w:lineRule="auto"/>
        <w:ind w:firstLine="424" w:firstLineChars="151"/>
        <w:rPr>
          <w:sz w:val="28"/>
        </w:rPr>
      </w:pPr>
      <w:r>
        <w:rPr>
          <w:rFonts w:hint="eastAsia"/>
          <w:sz w:val="28"/>
        </w:rPr>
        <w:t>7.项目组人员清单格式</w:t>
      </w:r>
    </w:p>
    <w:p>
      <w:pPr>
        <w:snapToGrid w:val="0"/>
        <w:spacing w:before="156" w:beforeLines="50" w:after="360"/>
        <w:ind w:firstLine="482"/>
        <w:jc w:val="center"/>
        <w:rPr>
          <w:rFonts w:ascii="宋体" w:hAnsi="宋体"/>
          <w:b/>
          <w:sz w:val="24"/>
        </w:rPr>
      </w:pPr>
      <w:r>
        <w:rPr>
          <w:rFonts w:hint="eastAsia" w:ascii="宋体" w:hAnsi="宋体"/>
          <w:b/>
          <w:sz w:val="24"/>
        </w:rPr>
        <w:t>项目人员清单</w:t>
      </w:r>
    </w:p>
    <w:tbl>
      <w:tblPr>
        <w:tblStyle w:val="19"/>
        <w:tblW w:w="44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952"/>
        <w:gridCol w:w="922"/>
        <w:gridCol w:w="977"/>
        <w:gridCol w:w="1073"/>
        <w:gridCol w:w="1309"/>
        <w:gridCol w:w="2201"/>
        <w:gridCol w:w="1716"/>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5" w:type="pct"/>
          </w:tcPr>
          <w:p>
            <w:pPr>
              <w:spacing w:line="440" w:lineRule="exact"/>
              <w:jc w:val="center"/>
              <w:rPr>
                <w:rFonts w:ascii="宋体" w:hAnsi="宋体"/>
                <w:bCs/>
              </w:rPr>
            </w:pPr>
            <w:r>
              <w:rPr>
                <w:rFonts w:hint="eastAsia" w:ascii="宋体" w:hAnsi="宋体" w:eastAsia="宋体" w:cs="宋体"/>
                <w:sz w:val="24"/>
              </w:rPr>
              <w:t>序号</w:t>
            </w:r>
          </w:p>
        </w:tc>
        <w:tc>
          <w:tcPr>
            <w:tcW w:w="777" w:type="pct"/>
          </w:tcPr>
          <w:p>
            <w:pPr>
              <w:autoSpaceDE w:val="0"/>
              <w:autoSpaceDN w:val="0"/>
              <w:adjustRightInd w:val="0"/>
              <w:spacing w:line="440" w:lineRule="exact"/>
              <w:jc w:val="center"/>
              <w:rPr>
                <w:rFonts w:ascii="宋体" w:hAnsi="宋体"/>
              </w:rPr>
            </w:pPr>
            <w:r>
              <w:rPr>
                <w:rFonts w:hint="eastAsia" w:ascii="宋体" w:hAnsi="宋体" w:eastAsia="宋体" w:cs="宋体"/>
                <w:sz w:val="24"/>
              </w:rPr>
              <w:t xml:space="preserve">姓名 </w:t>
            </w:r>
          </w:p>
        </w:tc>
        <w:tc>
          <w:tcPr>
            <w:tcW w:w="367" w:type="pct"/>
          </w:tcPr>
          <w:p>
            <w:pPr>
              <w:autoSpaceDE w:val="0"/>
              <w:autoSpaceDN w:val="0"/>
              <w:adjustRightInd w:val="0"/>
              <w:spacing w:line="440" w:lineRule="exact"/>
              <w:jc w:val="center"/>
              <w:rPr>
                <w:rFonts w:ascii="宋体" w:hAnsi="宋体"/>
              </w:rPr>
            </w:pPr>
            <w:r>
              <w:rPr>
                <w:rFonts w:hint="eastAsia" w:ascii="宋体" w:hAnsi="宋体" w:eastAsia="宋体" w:cs="宋体"/>
                <w:sz w:val="24"/>
              </w:rPr>
              <w:t>性别</w:t>
            </w:r>
          </w:p>
        </w:tc>
        <w:tc>
          <w:tcPr>
            <w:tcW w:w="389" w:type="pct"/>
          </w:tcPr>
          <w:p>
            <w:pPr>
              <w:autoSpaceDE w:val="0"/>
              <w:autoSpaceDN w:val="0"/>
              <w:adjustRightInd w:val="0"/>
              <w:spacing w:line="440" w:lineRule="exact"/>
              <w:jc w:val="center"/>
              <w:rPr>
                <w:rFonts w:ascii="宋体" w:hAnsi="宋体"/>
              </w:rPr>
            </w:pPr>
            <w:r>
              <w:rPr>
                <w:rFonts w:hint="eastAsia" w:ascii="宋体" w:hAnsi="宋体" w:eastAsia="宋体" w:cs="宋体"/>
                <w:sz w:val="24"/>
              </w:rPr>
              <w:t>年龄</w:t>
            </w:r>
          </w:p>
        </w:tc>
        <w:tc>
          <w:tcPr>
            <w:tcW w:w="427" w:type="pct"/>
          </w:tcPr>
          <w:p>
            <w:pPr>
              <w:autoSpaceDE w:val="0"/>
              <w:autoSpaceDN w:val="0"/>
              <w:adjustRightInd w:val="0"/>
              <w:spacing w:line="440" w:lineRule="exact"/>
              <w:jc w:val="center"/>
              <w:rPr>
                <w:rFonts w:ascii="宋体" w:hAnsi="宋体"/>
              </w:rPr>
            </w:pPr>
            <w:r>
              <w:rPr>
                <w:rFonts w:hint="eastAsia" w:ascii="宋体" w:hAnsi="宋体" w:eastAsia="宋体" w:cs="宋体"/>
                <w:sz w:val="24"/>
              </w:rPr>
              <w:t>学历</w:t>
            </w:r>
          </w:p>
        </w:tc>
        <w:tc>
          <w:tcPr>
            <w:tcW w:w="521" w:type="pct"/>
          </w:tcPr>
          <w:p>
            <w:pPr>
              <w:spacing w:line="440" w:lineRule="exact"/>
              <w:jc w:val="center"/>
              <w:rPr>
                <w:rFonts w:ascii="宋体" w:hAnsi="宋体"/>
                <w:bCs/>
              </w:rPr>
            </w:pPr>
            <w:r>
              <w:rPr>
                <w:rFonts w:hint="eastAsia" w:ascii="宋体" w:hAnsi="宋体" w:eastAsia="宋体" w:cs="宋体"/>
                <w:sz w:val="24"/>
              </w:rPr>
              <w:t>工作年限</w:t>
            </w:r>
          </w:p>
        </w:tc>
        <w:tc>
          <w:tcPr>
            <w:tcW w:w="876" w:type="pct"/>
          </w:tcPr>
          <w:p>
            <w:pPr>
              <w:spacing w:line="440" w:lineRule="exact"/>
              <w:jc w:val="center"/>
              <w:rPr>
                <w:rFonts w:ascii="宋体" w:hAnsi="宋体"/>
                <w:bCs/>
              </w:rPr>
            </w:pPr>
            <w:r>
              <w:rPr>
                <w:rFonts w:hint="eastAsia" w:ascii="宋体" w:hAnsi="宋体" w:cs="宋体"/>
                <w:sz w:val="24"/>
              </w:rPr>
              <w:t>专业技术</w:t>
            </w:r>
            <w:r>
              <w:rPr>
                <w:rFonts w:hint="eastAsia" w:ascii="宋体" w:hAnsi="宋体" w:eastAsia="宋体" w:cs="宋体"/>
                <w:sz w:val="24"/>
              </w:rPr>
              <w:t>职称</w:t>
            </w:r>
          </w:p>
        </w:tc>
        <w:tc>
          <w:tcPr>
            <w:tcW w:w="683" w:type="pct"/>
          </w:tcPr>
          <w:p>
            <w:pPr>
              <w:spacing w:line="440" w:lineRule="exact"/>
              <w:jc w:val="center"/>
              <w:rPr>
                <w:rFonts w:ascii="宋体" w:hAnsi="宋体"/>
              </w:rPr>
            </w:pPr>
            <w:r>
              <w:rPr>
                <w:rFonts w:hint="eastAsia" w:ascii="宋体" w:hAnsi="宋体" w:eastAsia="宋体" w:cs="宋体"/>
                <w:sz w:val="24"/>
              </w:rPr>
              <w:t>执业</w:t>
            </w:r>
            <w:r>
              <w:rPr>
                <w:rFonts w:hint="eastAsia" w:ascii="宋体" w:hAnsi="宋体" w:cs="宋体"/>
                <w:sz w:val="24"/>
              </w:rPr>
              <w:t>资格</w:t>
            </w:r>
          </w:p>
        </w:tc>
        <w:tc>
          <w:tcPr>
            <w:tcW w:w="635" w:type="pct"/>
          </w:tcPr>
          <w:p>
            <w:pPr>
              <w:spacing w:line="440" w:lineRule="exact"/>
              <w:jc w:val="center"/>
              <w:rPr>
                <w:rFonts w:ascii="宋体" w:hAnsi="宋体"/>
              </w:rPr>
            </w:pPr>
            <w:r>
              <w:rPr>
                <w:rFonts w:hint="eastAsia" w:ascii="宋体" w:hAnsi="宋体" w:cs="宋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5" w:type="pct"/>
          </w:tcPr>
          <w:p>
            <w:pPr>
              <w:spacing w:line="440" w:lineRule="exact"/>
              <w:jc w:val="center"/>
              <w:rPr>
                <w:rFonts w:ascii="宋体" w:hAnsi="宋体"/>
              </w:rPr>
            </w:pPr>
          </w:p>
        </w:tc>
        <w:tc>
          <w:tcPr>
            <w:tcW w:w="777" w:type="pct"/>
          </w:tcPr>
          <w:p>
            <w:pPr>
              <w:autoSpaceDE w:val="0"/>
              <w:autoSpaceDN w:val="0"/>
              <w:adjustRightInd w:val="0"/>
              <w:spacing w:line="440" w:lineRule="exact"/>
              <w:jc w:val="center"/>
              <w:rPr>
                <w:rFonts w:ascii="宋体" w:hAnsi="宋体"/>
              </w:rPr>
            </w:pPr>
          </w:p>
        </w:tc>
        <w:tc>
          <w:tcPr>
            <w:tcW w:w="367" w:type="pct"/>
          </w:tcPr>
          <w:p>
            <w:pPr>
              <w:autoSpaceDE w:val="0"/>
              <w:autoSpaceDN w:val="0"/>
              <w:adjustRightInd w:val="0"/>
              <w:spacing w:line="440" w:lineRule="exact"/>
              <w:jc w:val="center"/>
              <w:rPr>
                <w:rFonts w:ascii="宋体" w:hAnsi="宋体"/>
              </w:rPr>
            </w:pPr>
          </w:p>
        </w:tc>
        <w:tc>
          <w:tcPr>
            <w:tcW w:w="389" w:type="pct"/>
          </w:tcPr>
          <w:p>
            <w:pPr>
              <w:autoSpaceDE w:val="0"/>
              <w:autoSpaceDN w:val="0"/>
              <w:adjustRightInd w:val="0"/>
              <w:spacing w:line="440" w:lineRule="exact"/>
              <w:jc w:val="center"/>
              <w:rPr>
                <w:rFonts w:ascii="宋体" w:hAnsi="宋体"/>
              </w:rPr>
            </w:pPr>
          </w:p>
        </w:tc>
        <w:tc>
          <w:tcPr>
            <w:tcW w:w="427" w:type="pct"/>
          </w:tcPr>
          <w:p>
            <w:pPr>
              <w:autoSpaceDE w:val="0"/>
              <w:autoSpaceDN w:val="0"/>
              <w:adjustRightInd w:val="0"/>
              <w:spacing w:line="440" w:lineRule="exact"/>
              <w:jc w:val="center"/>
              <w:rPr>
                <w:rFonts w:ascii="宋体" w:hAnsi="宋体"/>
              </w:rPr>
            </w:pPr>
          </w:p>
        </w:tc>
        <w:tc>
          <w:tcPr>
            <w:tcW w:w="521" w:type="pct"/>
          </w:tcPr>
          <w:p>
            <w:pPr>
              <w:spacing w:line="440" w:lineRule="exact"/>
              <w:jc w:val="center"/>
              <w:rPr>
                <w:rFonts w:ascii="宋体" w:hAnsi="宋体"/>
              </w:rPr>
            </w:pPr>
          </w:p>
        </w:tc>
        <w:tc>
          <w:tcPr>
            <w:tcW w:w="876" w:type="pct"/>
          </w:tcPr>
          <w:p>
            <w:pPr>
              <w:spacing w:line="440" w:lineRule="exact"/>
              <w:jc w:val="center"/>
              <w:rPr>
                <w:rFonts w:ascii="宋体" w:hAnsi="宋体"/>
              </w:rPr>
            </w:pPr>
          </w:p>
        </w:tc>
        <w:tc>
          <w:tcPr>
            <w:tcW w:w="683" w:type="pct"/>
          </w:tcPr>
          <w:p>
            <w:pPr>
              <w:spacing w:line="440" w:lineRule="exact"/>
              <w:jc w:val="center"/>
              <w:rPr>
                <w:rFonts w:ascii="宋体" w:hAnsi="宋体"/>
              </w:rPr>
            </w:pPr>
          </w:p>
        </w:tc>
        <w:tc>
          <w:tcPr>
            <w:tcW w:w="635" w:type="pct"/>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5" w:type="pct"/>
          </w:tcPr>
          <w:p>
            <w:pPr>
              <w:spacing w:line="440" w:lineRule="exact"/>
              <w:jc w:val="center"/>
              <w:rPr>
                <w:rFonts w:ascii="宋体" w:hAnsi="宋体"/>
                <w:bCs/>
              </w:rPr>
            </w:pPr>
          </w:p>
        </w:tc>
        <w:tc>
          <w:tcPr>
            <w:tcW w:w="777" w:type="pct"/>
          </w:tcPr>
          <w:p>
            <w:pPr>
              <w:spacing w:line="440" w:lineRule="exact"/>
              <w:jc w:val="center"/>
              <w:rPr>
                <w:rFonts w:ascii="宋体" w:hAnsi="宋体"/>
                <w:bCs/>
              </w:rPr>
            </w:pPr>
          </w:p>
        </w:tc>
        <w:tc>
          <w:tcPr>
            <w:tcW w:w="367" w:type="pct"/>
          </w:tcPr>
          <w:p>
            <w:pPr>
              <w:spacing w:line="440" w:lineRule="exact"/>
              <w:jc w:val="center"/>
              <w:rPr>
                <w:rFonts w:ascii="宋体" w:hAnsi="宋体"/>
                <w:bCs/>
              </w:rPr>
            </w:pPr>
          </w:p>
        </w:tc>
        <w:tc>
          <w:tcPr>
            <w:tcW w:w="389" w:type="pct"/>
          </w:tcPr>
          <w:p>
            <w:pPr>
              <w:spacing w:line="440" w:lineRule="exact"/>
              <w:jc w:val="center"/>
              <w:rPr>
                <w:rFonts w:ascii="宋体" w:hAnsi="宋体"/>
                <w:bCs/>
              </w:rPr>
            </w:pPr>
          </w:p>
        </w:tc>
        <w:tc>
          <w:tcPr>
            <w:tcW w:w="427" w:type="pct"/>
          </w:tcPr>
          <w:p>
            <w:pPr>
              <w:spacing w:line="440" w:lineRule="exact"/>
              <w:jc w:val="center"/>
              <w:rPr>
                <w:rFonts w:ascii="宋体" w:hAnsi="宋体"/>
                <w:bCs/>
              </w:rPr>
            </w:pPr>
          </w:p>
        </w:tc>
        <w:tc>
          <w:tcPr>
            <w:tcW w:w="521" w:type="pct"/>
          </w:tcPr>
          <w:p>
            <w:pPr>
              <w:spacing w:line="440" w:lineRule="exact"/>
              <w:jc w:val="center"/>
              <w:rPr>
                <w:rFonts w:ascii="宋体" w:hAnsi="宋体"/>
                <w:bCs/>
              </w:rPr>
            </w:pPr>
          </w:p>
        </w:tc>
        <w:tc>
          <w:tcPr>
            <w:tcW w:w="876" w:type="pct"/>
          </w:tcPr>
          <w:p>
            <w:pPr>
              <w:spacing w:line="440" w:lineRule="exact"/>
              <w:jc w:val="center"/>
              <w:rPr>
                <w:rFonts w:ascii="宋体" w:hAnsi="宋体"/>
                <w:bCs/>
              </w:rPr>
            </w:pPr>
          </w:p>
        </w:tc>
        <w:tc>
          <w:tcPr>
            <w:tcW w:w="683" w:type="pct"/>
          </w:tcPr>
          <w:p>
            <w:pPr>
              <w:spacing w:line="440" w:lineRule="exact"/>
              <w:jc w:val="center"/>
              <w:rPr>
                <w:rFonts w:ascii="宋体" w:hAnsi="宋体"/>
                <w:bCs/>
              </w:rPr>
            </w:pPr>
          </w:p>
        </w:tc>
        <w:tc>
          <w:tcPr>
            <w:tcW w:w="635" w:type="pct"/>
          </w:tcPr>
          <w:p>
            <w:pPr>
              <w:spacing w:line="440" w:lineRule="exact"/>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5" w:type="pct"/>
          </w:tcPr>
          <w:p>
            <w:pPr>
              <w:spacing w:line="440" w:lineRule="exact"/>
              <w:jc w:val="center"/>
              <w:rPr>
                <w:rFonts w:ascii="宋体" w:hAnsi="宋体"/>
                <w:bCs/>
              </w:rPr>
            </w:pPr>
          </w:p>
        </w:tc>
        <w:tc>
          <w:tcPr>
            <w:tcW w:w="777" w:type="pct"/>
          </w:tcPr>
          <w:p>
            <w:pPr>
              <w:spacing w:line="440" w:lineRule="exact"/>
              <w:jc w:val="center"/>
              <w:rPr>
                <w:rFonts w:ascii="宋体" w:hAnsi="宋体"/>
                <w:bCs/>
              </w:rPr>
            </w:pPr>
          </w:p>
        </w:tc>
        <w:tc>
          <w:tcPr>
            <w:tcW w:w="367" w:type="pct"/>
          </w:tcPr>
          <w:p>
            <w:pPr>
              <w:spacing w:line="440" w:lineRule="exact"/>
              <w:jc w:val="center"/>
              <w:rPr>
                <w:rFonts w:ascii="宋体" w:hAnsi="宋体"/>
                <w:bCs/>
              </w:rPr>
            </w:pPr>
          </w:p>
        </w:tc>
        <w:tc>
          <w:tcPr>
            <w:tcW w:w="389" w:type="pct"/>
          </w:tcPr>
          <w:p>
            <w:pPr>
              <w:spacing w:line="440" w:lineRule="exact"/>
              <w:jc w:val="center"/>
              <w:rPr>
                <w:rFonts w:ascii="宋体" w:hAnsi="宋体"/>
                <w:bCs/>
              </w:rPr>
            </w:pPr>
          </w:p>
        </w:tc>
        <w:tc>
          <w:tcPr>
            <w:tcW w:w="427" w:type="pct"/>
          </w:tcPr>
          <w:p>
            <w:pPr>
              <w:spacing w:line="440" w:lineRule="exact"/>
              <w:jc w:val="center"/>
              <w:rPr>
                <w:rFonts w:ascii="宋体" w:hAnsi="宋体"/>
                <w:bCs/>
              </w:rPr>
            </w:pPr>
          </w:p>
        </w:tc>
        <w:tc>
          <w:tcPr>
            <w:tcW w:w="521" w:type="pct"/>
          </w:tcPr>
          <w:p>
            <w:pPr>
              <w:spacing w:line="440" w:lineRule="exact"/>
              <w:jc w:val="center"/>
              <w:rPr>
                <w:rFonts w:ascii="宋体" w:hAnsi="宋体"/>
                <w:bCs/>
              </w:rPr>
            </w:pPr>
          </w:p>
        </w:tc>
        <w:tc>
          <w:tcPr>
            <w:tcW w:w="876" w:type="pct"/>
          </w:tcPr>
          <w:p>
            <w:pPr>
              <w:spacing w:line="440" w:lineRule="exact"/>
              <w:jc w:val="center"/>
              <w:rPr>
                <w:rFonts w:ascii="宋体" w:hAnsi="宋体"/>
                <w:bCs/>
              </w:rPr>
            </w:pPr>
          </w:p>
        </w:tc>
        <w:tc>
          <w:tcPr>
            <w:tcW w:w="683" w:type="pct"/>
          </w:tcPr>
          <w:p>
            <w:pPr>
              <w:spacing w:line="440" w:lineRule="exact"/>
              <w:jc w:val="center"/>
              <w:rPr>
                <w:rFonts w:ascii="宋体" w:hAnsi="宋体"/>
                <w:bCs/>
              </w:rPr>
            </w:pPr>
          </w:p>
        </w:tc>
        <w:tc>
          <w:tcPr>
            <w:tcW w:w="635" w:type="pct"/>
          </w:tcPr>
          <w:p>
            <w:pPr>
              <w:spacing w:line="440" w:lineRule="exact"/>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5" w:type="pct"/>
          </w:tcPr>
          <w:p>
            <w:pPr>
              <w:spacing w:line="440" w:lineRule="exact"/>
              <w:jc w:val="center"/>
              <w:rPr>
                <w:rFonts w:ascii="宋体" w:hAnsi="宋体"/>
                <w:bCs/>
              </w:rPr>
            </w:pPr>
          </w:p>
        </w:tc>
        <w:tc>
          <w:tcPr>
            <w:tcW w:w="777" w:type="pct"/>
          </w:tcPr>
          <w:p>
            <w:pPr>
              <w:spacing w:line="440" w:lineRule="exact"/>
              <w:jc w:val="center"/>
              <w:rPr>
                <w:rFonts w:ascii="宋体" w:hAnsi="宋体"/>
                <w:bCs/>
              </w:rPr>
            </w:pPr>
          </w:p>
        </w:tc>
        <w:tc>
          <w:tcPr>
            <w:tcW w:w="367" w:type="pct"/>
          </w:tcPr>
          <w:p>
            <w:pPr>
              <w:spacing w:line="440" w:lineRule="exact"/>
              <w:jc w:val="center"/>
              <w:rPr>
                <w:rFonts w:ascii="宋体" w:hAnsi="宋体"/>
                <w:bCs/>
              </w:rPr>
            </w:pPr>
          </w:p>
        </w:tc>
        <w:tc>
          <w:tcPr>
            <w:tcW w:w="389" w:type="pct"/>
          </w:tcPr>
          <w:p>
            <w:pPr>
              <w:spacing w:line="440" w:lineRule="exact"/>
              <w:jc w:val="center"/>
              <w:rPr>
                <w:rFonts w:ascii="宋体" w:hAnsi="宋体"/>
                <w:bCs/>
              </w:rPr>
            </w:pPr>
          </w:p>
        </w:tc>
        <w:tc>
          <w:tcPr>
            <w:tcW w:w="427" w:type="pct"/>
          </w:tcPr>
          <w:p>
            <w:pPr>
              <w:spacing w:line="440" w:lineRule="exact"/>
              <w:jc w:val="center"/>
              <w:rPr>
                <w:rFonts w:ascii="宋体" w:hAnsi="宋体"/>
                <w:bCs/>
              </w:rPr>
            </w:pPr>
          </w:p>
        </w:tc>
        <w:tc>
          <w:tcPr>
            <w:tcW w:w="521" w:type="pct"/>
          </w:tcPr>
          <w:p>
            <w:pPr>
              <w:spacing w:line="440" w:lineRule="exact"/>
              <w:jc w:val="center"/>
              <w:rPr>
                <w:rFonts w:ascii="宋体" w:hAnsi="宋体"/>
                <w:bCs/>
              </w:rPr>
            </w:pPr>
          </w:p>
        </w:tc>
        <w:tc>
          <w:tcPr>
            <w:tcW w:w="876" w:type="pct"/>
          </w:tcPr>
          <w:p>
            <w:pPr>
              <w:spacing w:line="440" w:lineRule="exact"/>
              <w:jc w:val="center"/>
              <w:rPr>
                <w:rFonts w:ascii="宋体" w:hAnsi="宋体"/>
                <w:bCs/>
              </w:rPr>
            </w:pPr>
          </w:p>
        </w:tc>
        <w:tc>
          <w:tcPr>
            <w:tcW w:w="683" w:type="pct"/>
          </w:tcPr>
          <w:p>
            <w:pPr>
              <w:spacing w:line="440" w:lineRule="exact"/>
              <w:jc w:val="center"/>
              <w:rPr>
                <w:rFonts w:ascii="宋体" w:hAnsi="宋体"/>
                <w:bCs/>
              </w:rPr>
            </w:pPr>
          </w:p>
        </w:tc>
        <w:tc>
          <w:tcPr>
            <w:tcW w:w="635" w:type="pct"/>
          </w:tcPr>
          <w:p>
            <w:pPr>
              <w:spacing w:line="440" w:lineRule="exact"/>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5" w:type="pct"/>
          </w:tcPr>
          <w:p>
            <w:pPr>
              <w:spacing w:line="440" w:lineRule="exact"/>
              <w:jc w:val="center"/>
              <w:rPr>
                <w:rFonts w:ascii="宋体" w:hAnsi="宋体"/>
                <w:bCs/>
              </w:rPr>
            </w:pPr>
          </w:p>
        </w:tc>
        <w:tc>
          <w:tcPr>
            <w:tcW w:w="777" w:type="pct"/>
          </w:tcPr>
          <w:p>
            <w:pPr>
              <w:spacing w:line="440" w:lineRule="exact"/>
              <w:jc w:val="center"/>
              <w:rPr>
                <w:rFonts w:ascii="宋体" w:hAnsi="宋体"/>
                <w:bCs/>
              </w:rPr>
            </w:pPr>
          </w:p>
        </w:tc>
        <w:tc>
          <w:tcPr>
            <w:tcW w:w="367" w:type="pct"/>
          </w:tcPr>
          <w:p>
            <w:pPr>
              <w:spacing w:line="440" w:lineRule="exact"/>
              <w:jc w:val="center"/>
              <w:rPr>
                <w:rFonts w:ascii="宋体" w:hAnsi="宋体"/>
                <w:bCs/>
              </w:rPr>
            </w:pPr>
          </w:p>
        </w:tc>
        <w:tc>
          <w:tcPr>
            <w:tcW w:w="389" w:type="pct"/>
          </w:tcPr>
          <w:p>
            <w:pPr>
              <w:spacing w:line="440" w:lineRule="exact"/>
              <w:jc w:val="center"/>
              <w:rPr>
                <w:rFonts w:ascii="宋体" w:hAnsi="宋体"/>
                <w:bCs/>
              </w:rPr>
            </w:pPr>
          </w:p>
        </w:tc>
        <w:tc>
          <w:tcPr>
            <w:tcW w:w="427" w:type="pct"/>
          </w:tcPr>
          <w:p>
            <w:pPr>
              <w:spacing w:line="440" w:lineRule="exact"/>
              <w:jc w:val="center"/>
              <w:rPr>
                <w:rFonts w:ascii="宋体" w:hAnsi="宋体"/>
                <w:bCs/>
              </w:rPr>
            </w:pPr>
          </w:p>
        </w:tc>
        <w:tc>
          <w:tcPr>
            <w:tcW w:w="521" w:type="pct"/>
          </w:tcPr>
          <w:p>
            <w:pPr>
              <w:spacing w:line="440" w:lineRule="exact"/>
              <w:jc w:val="center"/>
              <w:rPr>
                <w:rFonts w:ascii="宋体" w:hAnsi="宋体"/>
                <w:bCs/>
              </w:rPr>
            </w:pPr>
          </w:p>
        </w:tc>
        <w:tc>
          <w:tcPr>
            <w:tcW w:w="876" w:type="pct"/>
          </w:tcPr>
          <w:p>
            <w:pPr>
              <w:spacing w:line="440" w:lineRule="exact"/>
              <w:jc w:val="center"/>
              <w:rPr>
                <w:rFonts w:ascii="宋体" w:hAnsi="宋体"/>
                <w:bCs/>
              </w:rPr>
            </w:pPr>
          </w:p>
        </w:tc>
        <w:tc>
          <w:tcPr>
            <w:tcW w:w="683" w:type="pct"/>
          </w:tcPr>
          <w:p>
            <w:pPr>
              <w:spacing w:line="440" w:lineRule="exact"/>
              <w:jc w:val="center"/>
              <w:rPr>
                <w:rFonts w:ascii="宋体" w:hAnsi="宋体"/>
                <w:bCs/>
              </w:rPr>
            </w:pPr>
          </w:p>
        </w:tc>
        <w:tc>
          <w:tcPr>
            <w:tcW w:w="635" w:type="pct"/>
          </w:tcPr>
          <w:p>
            <w:pPr>
              <w:spacing w:line="440" w:lineRule="exact"/>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5" w:type="pct"/>
          </w:tcPr>
          <w:p>
            <w:pPr>
              <w:spacing w:line="440" w:lineRule="exact"/>
              <w:jc w:val="center"/>
              <w:rPr>
                <w:rFonts w:ascii="宋体" w:hAnsi="宋体"/>
                <w:bCs/>
              </w:rPr>
            </w:pPr>
          </w:p>
        </w:tc>
        <w:tc>
          <w:tcPr>
            <w:tcW w:w="777" w:type="pct"/>
          </w:tcPr>
          <w:p>
            <w:pPr>
              <w:spacing w:line="440" w:lineRule="exact"/>
              <w:jc w:val="center"/>
              <w:rPr>
                <w:rFonts w:ascii="宋体" w:hAnsi="宋体"/>
                <w:bCs/>
              </w:rPr>
            </w:pPr>
          </w:p>
        </w:tc>
        <w:tc>
          <w:tcPr>
            <w:tcW w:w="367" w:type="pct"/>
          </w:tcPr>
          <w:p>
            <w:pPr>
              <w:spacing w:line="440" w:lineRule="exact"/>
              <w:jc w:val="center"/>
              <w:rPr>
                <w:rFonts w:ascii="宋体" w:hAnsi="宋体"/>
                <w:bCs/>
              </w:rPr>
            </w:pPr>
          </w:p>
        </w:tc>
        <w:tc>
          <w:tcPr>
            <w:tcW w:w="389" w:type="pct"/>
          </w:tcPr>
          <w:p>
            <w:pPr>
              <w:spacing w:line="440" w:lineRule="exact"/>
              <w:jc w:val="center"/>
              <w:rPr>
                <w:rFonts w:ascii="宋体" w:hAnsi="宋体"/>
                <w:bCs/>
              </w:rPr>
            </w:pPr>
          </w:p>
        </w:tc>
        <w:tc>
          <w:tcPr>
            <w:tcW w:w="427" w:type="pct"/>
          </w:tcPr>
          <w:p>
            <w:pPr>
              <w:spacing w:line="440" w:lineRule="exact"/>
              <w:jc w:val="center"/>
              <w:rPr>
                <w:rFonts w:ascii="宋体" w:hAnsi="宋体"/>
                <w:bCs/>
              </w:rPr>
            </w:pPr>
          </w:p>
        </w:tc>
        <w:tc>
          <w:tcPr>
            <w:tcW w:w="521" w:type="pct"/>
          </w:tcPr>
          <w:p>
            <w:pPr>
              <w:spacing w:line="440" w:lineRule="exact"/>
              <w:jc w:val="center"/>
              <w:rPr>
                <w:rFonts w:ascii="宋体" w:hAnsi="宋体"/>
                <w:bCs/>
              </w:rPr>
            </w:pPr>
          </w:p>
        </w:tc>
        <w:tc>
          <w:tcPr>
            <w:tcW w:w="876" w:type="pct"/>
          </w:tcPr>
          <w:p>
            <w:pPr>
              <w:spacing w:line="440" w:lineRule="exact"/>
              <w:jc w:val="center"/>
              <w:rPr>
                <w:rFonts w:ascii="宋体" w:hAnsi="宋体"/>
                <w:bCs/>
              </w:rPr>
            </w:pPr>
          </w:p>
        </w:tc>
        <w:tc>
          <w:tcPr>
            <w:tcW w:w="683" w:type="pct"/>
          </w:tcPr>
          <w:p>
            <w:pPr>
              <w:spacing w:line="440" w:lineRule="exact"/>
              <w:jc w:val="center"/>
              <w:rPr>
                <w:rFonts w:ascii="宋体" w:hAnsi="宋体"/>
                <w:bCs/>
              </w:rPr>
            </w:pPr>
          </w:p>
        </w:tc>
        <w:tc>
          <w:tcPr>
            <w:tcW w:w="635" w:type="pct"/>
          </w:tcPr>
          <w:p>
            <w:pPr>
              <w:spacing w:line="440" w:lineRule="exact"/>
              <w:jc w:val="center"/>
              <w:rPr>
                <w:rFonts w:ascii="宋体" w:hAnsi="宋体"/>
                <w:bCs/>
              </w:rPr>
            </w:pPr>
          </w:p>
        </w:tc>
      </w:tr>
    </w:tbl>
    <w:p>
      <w:pPr>
        <w:spacing w:line="440" w:lineRule="exact"/>
        <w:rPr>
          <w:rFonts w:hAnsi="宋体" w:cs="宋体"/>
          <w:sz w:val="24"/>
        </w:rPr>
      </w:pPr>
      <w:r>
        <w:rPr>
          <w:rFonts w:hint="eastAsia" w:hAnsi="宋体" w:cs="宋体"/>
          <w:sz w:val="24"/>
        </w:rPr>
        <w:t>注：1.附相关技术职称、执业（专业）资格证书及身份证彩色扫描件，确保资料清晰可辨。</w:t>
      </w:r>
    </w:p>
    <w:p>
      <w:pPr>
        <w:spacing w:line="440" w:lineRule="exact"/>
        <w:rPr>
          <w:rFonts w:hAnsi="宋体" w:cs="宋体"/>
          <w:sz w:val="24"/>
        </w:rPr>
      </w:pPr>
      <w:r>
        <w:rPr>
          <w:rFonts w:hint="eastAsia" w:hAnsi="宋体" w:cs="宋体"/>
          <w:sz w:val="24"/>
        </w:rPr>
        <w:t>2.审核人员须为供应商正式员工，提供劳动合同。</w:t>
      </w:r>
    </w:p>
    <w:p>
      <w:pPr>
        <w:pStyle w:val="7"/>
        <w:snapToGrid w:val="0"/>
        <w:ind w:firstLine="480" w:firstLineChars="200"/>
        <w:jc w:val="center"/>
        <w:rPr>
          <w:rFonts w:ascii="宋体" w:hAnsi="宋体" w:eastAsia="宋体" w:cs="宋体"/>
          <w:sz w:val="24"/>
          <w:szCs w:val="24"/>
        </w:rPr>
      </w:pPr>
    </w:p>
    <w:p>
      <w:pPr>
        <w:pStyle w:val="7"/>
        <w:snapToGrid w:val="0"/>
        <w:ind w:firstLine="480" w:firstLineChars="200"/>
        <w:jc w:val="center"/>
        <w:rPr>
          <w:rFonts w:ascii="宋体" w:hAnsi="宋体" w:eastAsia="宋体"/>
          <w:sz w:val="24"/>
          <w:u w:val="single"/>
        </w:rPr>
      </w:pPr>
      <w:r>
        <w:rPr>
          <w:rFonts w:hint="eastAsia" w:ascii="宋体" w:hAnsi="宋体" w:eastAsia="宋体" w:cs="宋体"/>
          <w:sz w:val="24"/>
          <w:szCs w:val="24"/>
        </w:rPr>
        <w:t>法定代表人或其授权代表（签字或盖章）</w:t>
      </w:r>
      <w:r>
        <w:rPr>
          <w:rFonts w:hint="eastAsia" w:ascii="宋体" w:hAnsi="宋体" w:eastAsia="宋体"/>
          <w:sz w:val="24"/>
        </w:rPr>
        <w:t>：</w:t>
      </w:r>
      <w:r>
        <w:rPr>
          <w:rFonts w:hint="eastAsia" w:ascii="宋体" w:hAnsi="宋体" w:eastAsia="宋体"/>
          <w:sz w:val="24"/>
          <w:u w:val="single"/>
        </w:rPr>
        <w:t xml:space="preserve">             　　</w:t>
      </w:r>
    </w:p>
    <w:p>
      <w:pPr>
        <w:snapToGrid w:val="0"/>
        <w:spacing w:before="50"/>
        <w:ind w:left="479" w:leftChars="228"/>
        <w:jc w:val="center"/>
        <w:rPr>
          <w:rFonts w:ascii="宋体" w:hAnsi="宋体" w:eastAsia="宋体"/>
          <w:sz w:val="24"/>
        </w:rPr>
      </w:pPr>
      <w:r>
        <w:rPr>
          <w:rFonts w:hint="eastAsia" w:ascii="宋体" w:hAnsi="宋体"/>
          <w:sz w:val="24"/>
        </w:rPr>
        <w:t xml:space="preserve">                  </w:t>
      </w:r>
      <w:r>
        <w:rPr>
          <w:rFonts w:hint="eastAsia" w:ascii="宋体" w:hAnsi="宋体" w:cs="宋体"/>
          <w:sz w:val="24"/>
        </w:rPr>
        <w:t>响应供应商（盖章）</w:t>
      </w:r>
      <w:r>
        <w:rPr>
          <w:rFonts w:hint="eastAsia" w:ascii="宋体" w:hAnsi="宋体"/>
          <w:sz w:val="24"/>
        </w:rPr>
        <w:t>：</w:t>
      </w:r>
      <w:r>
        <w:rPr>
          <w:rFonts w:hint="eastAsia" w:ascii="宋体" w:hAnsi="宋体"/>
          <w:sz w:val="24"/>
          <w:u w:val="single"/>
        </w:rPr>
        <w:t xml:space="preserve">                 </w:t>
      </w:r>
      <w:r>
        <w:rPr>
          <w:rFonts w:hint="eastAsia" w:ascii="宋体" w:hAnsi="宋体"/>
          <w:sz w:val="24"/>
        </w:rPr>
        <w:t xml:space="preserve">                                           </w:t>
      </w:r>
    </w:p>
    <w:p>
      <w:pPr>
        <w:snapToGrid w:val="0"/>
        <w:spacing w:before="156" w:beforeLines="50" w:after="50"/>
        <w:jc w:val="right"/>
        <w:rPr>
          <w:rFonts w:ascii="宋体" w:hAnsi="宋体"/>
          <w:sz w:val="24"/>
        </w:rPr>
      </w:pPr>
      <w:r>
        <w:rPr>
          <w:rFonts w:hint="eastAsia" w:ascii="宋体" w:hAnsi="宋体"/>
          <w:sz w:val="24"/>
        </w:rPr>
        <w:t>年    月   日</w:t>
      </w:r>
    </w:p>
    <w:p>
      <w:pPr>
        <w:pStyle w:val="3"/>
        <w:spacing w:before="0" w:after="0" w:line="360" w:lineRule="auto"/>
        <w:ind w:firstLine="424" w:firstLineChars="151"/>
        <w:rPr>
          <w:sz w:val="28"/>
        </w:rPr>
      </w:pPr>
      <w:r>
        <w:rPr>
          <w:rFonts w:hint="eastAsia"/>
          <w:sz w:val="28"/>
        </w:rPr>
        <w:t>8.业绩情况一览表格式</w:t>
      </w:r>
    </w:p>
    <w:p>
      <w:pPr>
        <w:snapToGrid w:val="0"/>
        <w:spacing w:before="156" w:beforeLines="50" w:after="360"/>
        <w:ind w:firstLine="482"/>
        <w:jc w:val="center"/>
        <w:rPr>
          <w:rFonts w:ascii="宋体" w:hAnsi="宋体"/>
          <w:b/>
          <w:sz w:val="24"/>
        </w:rPr>
      </w:pPr>
      <w:r>
        <w:rPr>
          <w:rFonts w:hint="eastAsia" w:ascii="宋体" w:hAnsi="宋体"/>
          <w:b/>
          <w:sz w:val="24"/>
        </w:rPr>
        <w:t>业绩情况一览表</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2"/>
        <w:gridCol w:w="2420"/>
        <w:gridCol w:w="1772"/>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6" w:type="pct"/>
            <w:vAlign w:val="center"/>
          </w:tcPr>
          <w:p>
            <w:pPr>
              <w:spacing w:line="440" w:lineRule="exact"/>
              <w:jc w:val="center"/>
              <w:rPr>
                <w:rFonts w:hAnsi="宋体" w:cs="宋体"/>
                <w:sz w:val="24"/>
              </w:rPr>
            </w:pPr>
            <w:r>
              <w:rPr>
                <w:rFonts w:hint="eastAsia" w:hAnsi="宋体" w:cs="宋体"/>
                <w:sz w:val="24"/>
              </w:rPr>
              <w:t>序号</w:t>
            </w:r>
          </w:p>
        </w:tc>
        <w:tc>
          <w:tcPr>
            <w:tcW w:w="854" w:type="pct"/>
            <w:vAlign w:val="center"/>
          </w:tcPr>
          <w:p>
            <w:pPr>
              <w:spacing w:line="440" w:lineRule="exact"/>
              <w:jc w:val="center"/>
              <w:rPr>
                <w:rFonts w:hAnsi="宋体" w:cs="宋体"/>
                <w:sz w:val="24"/>
              </w:rPr>
            </w:pPr>
            <w:r>
              <w:rPr>
                <w:rFonts w:hint="eastAsia" w:hAnsi="宋体" w:cs="宋体"/>
                <w:sz w:val="24"/>
              </w:rPr>
              <w:t>审核类别</w:t>
            </w:r>
          </w:p>
        </w:tc>
        <w:tc>
          <w:tcPr>
            <w:tcW w:w="625" w:type="pct"/>
            <w:vAlign w:val="center"/>
          </w:tcPr>
          <w:p>
            <w:pPr>
              <w:spacing w:line="440" w:lineRule="exact"/>
              <w:jc w:val="center"/>
              <w:rPr>
                <w:rFonts w:hAnsi="宋体" w:cs="宋体"/>
                <w:sz w:val="24"/>
              </w:rPr>
            </w:pPr>
            <w:r>
              <w:rPr>
                <w:rFonts w:hint="eastAsia" w:hAnsi="宋体" w:cs="宋体"/>
                <w:sz w:val="24"/>
              </w:rPr>
              <w:t>委托单位名称</w:t>
            </w:r>
          </w:p>
        </w:tc>
        <w:tc>
          <w:tcPr>
            <w:tcW w:w="625" w:type="pct"/>
            <w:vAlign w:val="center"/>
          </w:tcPr>
          <w:p>
            <w:pPr>
              <w:spacing w:line="440" w:lineRule="exact"/>
              <w:jc w:val="center"/>
              <w:rPr>
                <w:rFonts w:hAnsi="宋体" w:cs="宋体"/>
                <w:sz w:val="24"/>
              </w:rPr>
            </w:pPr>
            <w:r>
              <w:rPr>
                <w:rFonts w:hint="eastAsia" w:hAnsi="宋体" w:cs="宋体"/>
                <w:sz w:val="24"/>
              </w:rPr>
              <w:t>项目名称</w:t>
            </w:r>
          </w:p>
        </w:tc>
        <w:tc>
          <w:tcPr>
            <w:tcW w:w="625" w:type="pct"/>
            <w:vAlign w:val="center"/>
          </w:tcPr>
          <w:p>
            <w:pPr>
              <w:spacing w:line="440" w:lineRule="exact"/>
              <w:jc w:val="center"/>
              <w:rPr>
                <w:rFonts w:hAnsi="宋体" w:cs="宋体"/>
                <w:sz w:val="24"/>
              </w:rPr>
            </w:pPr>
            <w:r>
              <w:rPr>
                <w:rFonts w:hint="eastAsia" w:hAnsi="宋体" w:cs="宋体"/>
                <w:sz w:val="24"/>
              </w:rPr>
              <w:t>项目规模</w:t>
            </w:r>
          </w:p>
          <w:p>
            <w:pPr>
              <w:spacing w:line="440" w:lineRule="exact"/>
              <w:jc w:val="center"/>
              <w:rPr>
                <w:rFonts w:hAnsi="宋体" w:cs="宋体"/>
                <w:sz w:val="24"/>
              </w:rPr>
            </w:pPr>
            <w:r>
              <w:rPr>
                <w:rFonts w:hint="eastAsia" w:hAnsi="宋体" w:cs="宋体"/>
                <w:sz w:val="24"/>
              </w:rPr>
              <w:t>（万元）</w:t>
            </w:r>
          </w:p>
        </w:tc>
        <w:tc>
          <w:tcPr>
            <w:tcW w:w="625" w:type="pct"/>
            <w:vAlign w:val="center"/>
          </w:tcPr>
          <w:p>
            <w:pPr>
              <w:spacing w:line="440" w:lineRule="exact"/>
              <w:jc w:val="center"/>
              <w:rPr>
                <w:rFonts w:hAnsi="宋体" w:cs="宋体"/>
                <w:sz w:val="24"/>
              </w:rPr>
            </w:pPr>
            <w:r>
              <w:rPr>
                <w:rFonts w:hint="eastAsia" w:hAnsi="宋体" w:cs="宋体"/>
                <w:sz w:val="24"/>
              </w:rPr>
              <w:t>合同签订日期</w:t>
            </w:r>
          </w:p>
        </w:tc>
        <w:tc>
          <w:tcPr>
            <w:tcW w:w="625" w:type="pct"/>
            <w:vAlign w:val="center"/>
          </w:tcPr>
          <w:p>
            <w:pPr>
              <w:spacing w:line="440" w:lineRule="exact"/>
              <w:jc w:val="center"/>
              <w:rPr>
                <w:rFonts w:hAnsi="宋体" w:cs="宋体"/>
                <w:sz w:val="24"/>
              </w:rPr>
            </w:pPr>
            <w:r>
              <w:rPr>
                <w:rFonts w:hint="eastAsia" w:hAnsi="宋体" w:cs="宋体"/>
                <w:sz w:val="24"/>
              </w:rPr>
              <w:t>合同</w:t>
            </w:r>
          </w:p>
          <w:p>
            <w:pPr>
              <w:spacing w:line="440" w:lineRule="exact"/>
              <w:jc w:val="center"/>
              <w:rPr>
                <w:rFonts w:hAnsi="宋体" w:cs="宋体"/>
                <w:sz w:val="24"/>
              </w:rPr>
            </w:pPr>
            <w:r>
              <w:rPr>
                <w:rFonts w:hint="eastAsia" w:hAnsi="宋体" w:cs="宋体"/>
                <w:sz w:val="24"/>
              </w:rPr>
              <w:t>（附件页码）</w:t>
            </w:r>
          </w:p>
        </w:tc>
        <w:tc>
          <w:tcPr>
            <w:tcW w:w="625" w:type="pct"/>
            <w:vAlign w:val="center"/>
          </w:tcPr>
          <w:p>
            <w:pPr>
              <w:spacing w:line="440" w:lineRule="exact"/>
              <w:jc w:val="center"/>
              <w:rPr>
                <w:rFonts w:hAnsi="宋体" w:cs="宋体"/>
                <w:sz w:val="24"/>
              </w:rPr>
            </w:pPr>
            <w:r>
              <w:rPr>
                <w:rFonts w:hint="eastAsia" w:hAnsi="宋体" w:cs="宋体"/>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6" w:type="pct"/>
            <w:vAlign w:val="center"/>
          </w:tcPr>
          <w:p>
            <w:pPr>
              <w:jc w:val="center"/>
            </w:pPr>
          </w:p>
        </w:tc>
        <w:tc>
          <w:tcPr>
            <w:tcW w:w="854" w:type="pct"/>
            <w:vAlign w:val="center"/>
          </w:tcPr>
          <w:p>
            <w:pPr>
              <w:jc w:val="center"/>
            </w:pPr>
          </w:p>
        </w:tc>
        <w:tc>
          <w:tcPr>
            <w:tcW w:w="625" w:type="pct"/>
            <w:vAlign w:val="center"/>
          </w:tcPr>
          <w:p>
            <w:pPr>
              <w:jc w:val="center"/>
            </w:pPr>
          </w:p>
        </w:tc>
        <w:tc>
          <w:tcPr>
            <w:tcW w:w="625" w:type="pct"/>
            <w:vAlign w:val="center"/>
          </w:tcPr>
          <w:p>
            <w:pPr>
              <w:jc w:val="center"/>
            </w:pPr>
          </w:p>
        </w:tc>
        <w:tc>
          <w:tcPr>
            <w:tcW w:w="625" w:type="pct"/>
            <w:vAlign w:val="center"/>
          </w:tcPr>
          <w:p>
            <w:pPr>
              <w:jc w:val="center"/>
            </w:pPr>
          </w:p>
        </w:tc>
        <w:tc>
          <w:tcPr>
            <w:tcW w:w="625" w:type="pct"/>
            <w:vAlign w:val="center"/>
          </w:tcPr>
          <w:p>
            <w:pPr>
              <w:jc w:val="center"/>
            </w:pPr>
          </w:p>
        </w:tc>
        <w:tc>
          <w:tcPr>
            <w:tcW w:w="625" w:type="pct"/>
            <w:vAlign w:val="center"/>
          </w:tcPr>
          <w:p>
            <w:pPr>
              <w:jc w:val="center"/>
            </w:pPr>
          </w:p>
        </w:tc>
        <w:tc>
          <w:tcPr>
            <w:tcW w:w="625"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6" w:type="pct"/>
            <w:vAlign w:val="center"/>
          </w:tcPr>
          <w:p>
            <w:pPr>
              <w:jc w:val="center"/>
            </w:pPr>
          </w:p>
        </w:tc>
        <w:tc>
          <w:tcPr>
            <w:tcW w:w="854" w:type="pct"/>
            <w:vAlign w:val="center"/>
          </w:tcPr>
          <w:p>
            <w:pPr>
              <w:jc w:val="center"/>
            </w:pPr>
          </w:p>
        </w:tc>
        <w:tc>
          <w:tcPr>
            <w:tcW w:w="625" w:type="pct"/>
            <w:vAlign w:val="center"/>
          </w:tcPr>
          <w:p>
            <w:pPr>
              <w:jc w:val="center"/>
            </w:pPr>
          </w:p>
        </w:tc>
        <w:tc>
          <w:tcPr>
            <w:tcW w:w="625" w:type="pct"/>
            <w:vAlign w:val="center"/>
          </w:tcPr>
          <w:p>
            <w:pPr>
              <w:jc w:val="center"/>
            </w:pPr>
          </w:p>
        </w:tc>
        <w:tc>
          <w:tcPr>
            <w:tcW w:w="625" w:type="pct"/>
            <w:vAlign w:val="center"/>
          </w:tcPr>
          <w:p>
            <w:pPr>
              <w:jc w:val="center"/>
            </w:pPr>
          </w:p>
        </w:tc>
        <w:tc>
          <w:tcPr>
            <w:tcW w:w="625" w:type="pct"/>
            <w:vAlign w:val="center"/>
          </w:tcPr>
          <w:p>
            <w:pPr>
              <w:jc w:val="center"/>
            </w:pPr>
          </w:p>
        </w:tc>
        <w:tc>
          <w:tcPr>
            <w:tcW w:w="625" w:type="pct"/>
            <w:vAlign w:val="center"/>
          </w:tcPr>
          <w:p>
            <w:pPr>
              <w:jc w:val="center"/>
            </w:pPr>
          </w:p>
        </w:tc>
        <w:tc>
          <w:tcPr>
            <w:tcW w:w="625"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6" w:type="pct"/>
            <w:vAlign w:val="center"/>
          </w:tcPr>
          <w:p>
            <w:pPr>
              <w:jc w:val="center"/>
            </w:pPr>
          </w:p>
        </w:tc>
        <w:tc>
          <w:tcPr>
            <w:tcW w:w="854" w:type="pct"/>
            <w:vAlign w:val="center"/>
          </w:tcPr>
          <w:p>
            <w:pPr>
              <w:jc w:val="center"/>
            </w:pPr>
          </w:p>
        </w:tc>
        <w:tc>
          <w:tcPr>
            <w:tcW w:w="625" w:type="pct"/>
            <w:vAlign w:val="center"/>
          </w:tcPr>
          <w:p>
            <w:pPr>
              <w:jc w:val="center"/>
            </w:pPr>
          </w:p>
        </w:tc>
        <w:tc>
          <w:tcPr>
            <w:tcW w:w="625" w:type="pct"/>
            <w:vAlign w:val="center"/>
          </w:tcPr>
          <w:p>
            <w:pPr>
              <w:jc w:val="center"/>
            </w:pPr>
          </w:p>
        </w:tc>
        <w:tc>
          <w:tcPr>
            <w:tcW w:w="625" w:type="pct"/>
            <w:vAlign w:val="center"/>
          </w:tcPr>
          <w:p>
            <w:pPr>
              <w:jc w:val="center"/>
            </w:pPr>
          </w:p>
        </w:tc>
        <w:tc>
          <w:tcPr>
            <w:tcW w:w="625" w:type="pct"/>
            <w:vAlign w:val="center"/>
          </w:tcPr>
          <w:p>
            <w:pPr>
              <w:jc w:val="center"/>
            </w:pPr>
          </w:p>
        </w:tc>
        <w:tc>
          <w:tcPr>
            <w:tcW w:w="625" w:type="pct"/>
            <w:vAlign w:val="center"/>
          </w:tcPr>
          <w:p>
            <w:pPr>
              <w:jc w:val="center"/>
            </w:pPr>
          </w:p>
        </w:tc>
        <w:tc>
          <w:tcPr>
            <w:tcW w:w="625" w:type="pct"/>
            <w:vAlign w:val="center"/>
          </w:tcPr>
          <w:p>
            <w:pPr>
              <w:jc w:val="center"/>
            </w:pPr>
          </w:p>
        </w:tc>
      </w:tr>
    </w:tbl>
    <w:p>
      <w:pPr>
        <w:pStyle w:val="7"/>
        <w:snapToGrid w:val="0"/>
        <w:ind w:firstLine="480" w:firstLineChars="200"/>
        <w:jc w:val="left"/>
        <w:rPr>
          <w:rFonts w:ascii="宋体" w:hAnsi="宋体" w:eastAsia="宋体" w:cs="宋体"/>
          <w:sz w:val="24"/>
          <w:szCs w:val="24"/>
        </w:rPr>
      </w:pPr>
      <w:r>
        <w:rPr>
          <w:rFonts w:hint="eastAsia" w:ascii="宋体" w:hAnsi="宋体" w:eastAsia="宋体" w:cs="宋体"/>
          <w:sz w:val="24"/>
          <w:szCs w:val="24"/>
        </w:rPr>
        <w:t>注：1.表格行数可自行添加。</w:t>
      </w:r>
    </w:p>
    <w:p>
      <w:pPr>
        <w:pStyle w:val="7"/>
        <w:snapToGrid w:val="0"/>
        <w:ind w:firstLine="480" w:firstLineChars="200"/>
        <w:jc w:val="center"/>
        <w:rPr>
          <w:rFonts w:ascii="宋体" w:hAnsi="宋体" w:eastAsia="宋体" w:cs="宋体"/>
          <w:sz w:val="24"/>
          <w:szCs w:val="24"/>
        </w:rPr>
      </w:pPr>
    </w:p>
    <w:p>
      <w:pPr>
        <w:pStyle w:val="7"/>
        <w:snapToGrid w:val="0"/>
        <w:ind w:firstLine="480" w:firstLineChars="200"/>
        <w:jc w:val="center"/>
        <w:rPr>
          <w:rFonts w:ascii="宋体" w:hAnsi="宋体" w:eastAsia="宋体"/>
          <w:sz w:val="24"/>
          <w:u w:val="single"/>
        </w:rPr>
      </w:pPr>
      <w:r>
        <w:rPr>
          <w:rFonts w:hint="eastAsia" w:ascii="宋体" w:hAnsi="宋体" w:eastAsia="宋体" w:cs="宋体"/>
          <w:sz w:val="24"/>
          <w:szCs w:val="24"/>
        </w:rPr>
        <w:t>法定代表人或其授权代表（签字或盖章）</w:t>
      </w:r>
      <w:r>
        <w:rPr>
          <w:rFonts w:hint="eastAsia" w:ascii="宋体" w:hAnsi="宋体" w:eastAsia="宋体"/>
          <w:sz w:val="24"/>
        </w:rPr>
        <w:t>：</w:t>
      </w:r>
      <w:r>
        <w:rPr>
          <w:rFonts w:hint="eastAsia" w:ascii="宋体" w:hAnsi="宋体" w:eastAsia="宋体"/>
          <w:sz w:val="24"/>
          <w:u w:val="single"/>
        </w:rPr>
        <w:t xml:space="preserve">             　　</w:t>
      </w:r>
    </w:p>
    <w:p>
      <w:pPr>
        <w:snapToGrid w:val="0"/>
        <w:spacing w:before="50"/>
        <w:ind w:left="479" w:leftChars="228"/>
        <w:jc w:val="center"/>
        <w:rPr>
          <w:rFonts w:ascii="宋体" w:hAnsi="宋体" w:eastAsia="宋体"/>
          <w:sz w:val="24"/>
        </w:rPr>
      </w:pPr>
      <w:r>
        <w:rPr>
          <w:rFonts w:hint="eastAsia" w:ascii="宋体" w:hAnsi="宋体"/>
          <w:sz w:val="24"/>
        </w:rPr>
        <w:t xml:space="preserve">                  </w:t>
      </w:r>
      <w:r>
        <w:rPr>
          <w:rFonts w:hint="eastAsia" w:ascii="宋体" w:hAnsi="宋体" w:cs="宋体"/>
          <w:sz w:val="24"/>
        </w:rPr>
        <w:t>响应供应商（盖章）</w:t>
      </w:r>
      <w:r>
        <w:rPr>
          <w:rFonts w:hint="eastAsia" w:ascii="宋体" w:hAnsi="宋体"/>
          <w:sz w:val="24"/>
        </w:rPr>
        <w:t>：</w:t>
      </w:r>
      <w:r>
        <w:rPr>
          <w:rFonts w:hint="eastAsia" w:ascii="宋体" w:hAnsi="宋体"/>
          <w:sz w:val="24"/>
          <w:u w:val="single"/>
        </w:rPr>
        <w:t xml:space="preserve">                 </w:t>
      </w:r>
      <w:r>
        <w:rPr>
          <w:rFonts w:hint="eastAsia" w:ascii="宋体" w:hAnsi="宋体"/>
          <w:sz w:val="24"/>
        </w:rPr>
        <w:t xml:space="preserve">                                           </w:t>
      </w:r>
    </w:p>
    <w:p>
      <w:pPr>
        <w:snapToGrid w:val="0"/>
        <w:spacing w:before="156" w:beforeLines="50" w:after="50"/>
        <w:jc w:val="right"/>
        <w:rPr>
          <w:rFonts w:ascii="宋体" w:hAnsi="宋体"/>
          <w:sz w:val="24"/>
        </w:rPr>
      </w:pPr>
      <w:r>
        <w:rPr>
          <w:rFonts w:hint="eastAsia" w:ascii="宋体" w:hAnsi="宋体"/>
          <w:sz w:val="24"/>
        </w:rPr>
        <w:t>年    月   日</w:t>
      </w:r>
    </w:p>
    <w:p>
      <w:pPr>
        <w:sectPr>
          <w:pgSz w:w="16838" w:h="11906" w:orient="landscape"/>
          <w:pgMar w:top="1797" w:right="1440" w:bottom="1797" w:left="1440" w:header="851" w:footer="992" w:gutter="0"/>
          <w:cols w:space="425" w:num="1"/>
          <w:docGrid w:type="lines" w:linePitch="312" w:charSpace="0"/>
        </w:sectPr>
      </w:pPr>
    </w:p>
    <w:p>
      <w:pPr>
        <w:pStyle w:val="3"/>
        <w:spacing w:before="0" w:after="0" w:line="360" w:lineRule="auto"/>
        <w:ind w:firstLine="424" w:firstLineChars="151"/>
        <w:rPr>
          <w:sz w:val="28"/>
        </w:rPr>
      </w:pPr>
      <w:r>
        <w:rPr>
          <w:rFonts w:hint="eastAsia"/>
          <w:sz w:val="28"/>
        </w:rPr>
        <w:t>9.报价一览表格式</w:t>
      </w:r>
    </w:p>
    <w:p>
      <w:pPr>
        <w:snapToGrid w:val="0"/>
        <w:spacing w:before="156" w:beforeLines="50" w:after="360"/>
        <w:ind w:firstLine="482"/>
        <w:jc w:val="center"/>
        <w:rPr>
          <w:rFonts w:ascii="宋体" w:hAnsi="宋体"/>
          <w:b/>
          <w:sz w:val="24"/>
        </w:rPr>
      </w:pPr>
      <w:r>
        <w:rPr>
          <w:rFonts w:hint="eastAsia" w:ascii="宋体" w:hAnsi="宋体"/>
          <w:b/>
          <w:sz w:val="24"/>
        </w:rPr>
        <w:t>报价一览表</w:t>
      </w:r>
    </w:p>
    <w:p>
      <w:pPr>
        <w:spacing w:line="440" w:lineRule="exact"/>
        <w:jc w:val="left"/>
        <w:rPr>
          <w:rFonts w:hAnsi="宋体" w:cs="宋体"/>
          <w:sz w:val="24"/>
        </w:rPr>
      </w:pPr>
      <w:r>
        <w:rPr>
          <w:rFonts w:hint="eastAsia" w:hAnsi="宋体" w:cs="宋体"/>
          <w:sz w:val="24"/>
        </w:rPr>
        <w:t>项目名称：</w:t>
      </w:r>
    </w:p>
    <w:p>
      <w:pPr>
        <w:spacing w:after="240" w:line="440" w:lineRule="exact"/>
        <w:jc w:val="left"/>
        <w:rPr>
          <w:rFonts w:hAnsi="宋体" w:cs="宋体"/>
          <w:sz w:val="24"/>
        </w:rPr>
      </w:pPr>
      <w:r>
        <w:rPr>
          <w:rFonts w:hint="eastAsia" w:hAnsi="宋体" w:cs="宋体"/>
          <w:sz w:val="24"/>
        </w:rPr>
        <w:t>项目编号：                                                 标项：</w:t>
      </w:r>
    </w:p>
    <w:tbl>
      <w:tblPr>
        <w:tblStyle w:val="19"/>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09"/>
        <w:gridCol w:w="41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4606" w:type="dxa"/>
            <w:tcBorders>
              <w:top w:val="single" w:color="auto" w:sz="4" w:space="0"/>
              <w:left w:val="single" w:color="auto" w:sz="4" w:space="0"/>
              <w:bottom w:val="nil"/>
              <w:right w:val="single" w:color="auto" w:sz="4" w:space="0"/>
            </w:tcBorders>
            <w:vAlign w:val="center"/>
          </w:tcPr>
          <w:p>
            <w:pPr>
              <w:spacing w:line="440" w:lineRule="exact"/>
              <w:jc w:val="center"/>
              <w:rPr>
                <w:rFonts w:hAnsi="宋体" w:cs="宋体"/>
                <w:sz w:val="24"/>
              </w:rPr>
            </w:pPr>
            <w:r>
              <w:rPr>
                <w:rFonts w:hint="eastAsia" w:hAnsi="宋体" w:cs="宋体"/>
                <w:sz w:val="24"/>
              </w:rPr>
              <w:t>服务内容</w:t>
            </w:r>
          </w:p>
        </w:tc>
        <w:tc>
          <w:tcPr>
            <w:tcW w:w="4149" w:type="dxa"/>
            <w:tcBorders>
              <w:top w:val="single" w:color="auto" w:sz="4" w:space="0"/>
              <w:left w:val="single" w:color="auto" w:sz="4" w:space="0"/>
              <w:bottom w:val="nil"/>
              <w:right w:val="single" w:color="auto" w:sz="4" w:space="0"/>
            </w:tcBorders>
            <w:vAlign w:val="center"/>
          </w:tcPr>
          <w:p>
            <w:pPr>
              <w:spacing w:line="440" w:lineRule="exact"/>
              <w:jc w:val="center"/>
              <w:rPr>
                <w:rFonts w:hAnsi="宋体" w:cs="宋体"/>
                <w:sz w:val="24"/>
              </w:rPr>
            </w:pPr>
            <w:r>
              <w:rPr>
                <w:rFonts w:hint="eastAsia" w:hAnsi="宋体" w:cs="宋体"/>
                <w:sz w:val="24"/>
              </w:rPr>
              <w:t>折扣率（%）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460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宋体"/>
                <w:sz w:val="24"/>
              </w:rPr>
            </w:pPr>
            <w:r>
              <w:rPr>
                <w:rFonts w:hint="eastAsia" w:hAnsi="宋体" w:cs="宋体"/>
                <w:sz w:val="24"/>
              </w:rPr>
              <w:t>2024-2026年度浦江县政府投资项目审核服务</w:t>
            </w:r>
          </w:p>
        </w:tc>
        <w:tc>
          <w:tcPr>
            <w:tcW w:w="414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宋体"/>
                <w:sz w:val="24"/>
              </w:rPr>
            </w:pPr>
            <w:r>
              <w:rPr>
                <w:rFonts w:hint="eastAsia" w:hAnsi="宋体" w:cs="宋体"/>
                <w:sz w:val="24"/>
                <w:u w:val="single"/>
              </w:rPr>
              <w:t xml:space="preserve">       </w:t>
            </w:r>
            <w:r>
              <w:rPr>
                <w:rFonts w:hint="eastAsia" w:hAnsi="宋体" w:cs="宋体"/>
                <w:sz w:val="24"/>
              </w:rPr>
              <w:t>%</w:t>
            </w:r>
          </w:p>
        </w:tc>
      </w:tr>
    </w:tbl>
    <w:p>
      <w:pPr>
        <w:spacing w:line="440" w:lineRule="exact"/>
        <w:ind w:firstLine="424" w:firstLineChars="177"/>
        <w:jc w:val="left"/>
        <w:rPr>
          <w:rFonts w:hAnsi="宋体" w:cs="宋体"/>
          <w:sz w:val="24"/>
        </w:rPr>
      </w:pPr>
      <w:r>
        <w:rPr>
          <w:rFonts w:hint="eastAsia" w:hAnsi="宋体" w:cs="宋体"/>
          <w:sz w:val="24"/>
        </w:rPr>
        <w:t>注：1.供应商应在《</w:t>
      </w:r>
      <w:r>
        <w:rPr>
          <w:rFonts w:hint="eastAsia" w:ascii="宋体" w:hAnsi="宋体" w:cs="宋体"/>
          <w:sz w:val="24"/>
        </w:rPr>
        <w:t>（表一）工程造价咨询服务费用计算标准</w:t>
      </w:r>
      <w:r>
        <w:rPr>
          <w:rFonts w:hint="eastAsia" w:hAnsi="宋体" w:cs="宋体"/>
          <w:sz w:val="24"/>
        </w:rPr>
        <w:t>》的基础上作出第一阶段响应报价，给予折扣率。</w:t>
      </w:r>
    </w:p>
    <w:p>
      <w:pPr>
        <w:spacing w:line="440" w:lineRule="exact"/>
        <w:ind w:firstLine="424" w:firstLineChars="177"/>
        <w:jc w:val="left"/>
        <w:rPr>
          <w:rFonts w:hAnsi="宋体" w:cs="宋体"/>
          <w:sz w:val="24"/>
        </w:rPr>
      </w:pPr>
      <w:r>
        <w:rPr>
          <w:rFonts w:hint="eastAsia" w:hAnsi="宋体" w:cs="宋体"/>
          <w:sz w:val="24"/>
        </w:rPr>
        <w:t>▲2.折扣率所填数值（百分符号前面的数）须为大于0小于等于70的整数。如折扣率填62%、65%、70%有效，填62.5%、65.15%、0%无效。</w:t>
      </w:r>
    </w:p>
    <w:p>
      <w:pPr>
        <w:spacing w:line="440" w:lineRule="exact"/>
        <w:ind w:firstLine="424" w:firstLineChars="177"/>
        <w:jc w:val="left"/>
        <w:rPr>
          <w:rFonts w:hAnsi="宋体" w:cs="宋体"/>
          <w:sz w:val="24"/>
        </w:rPr>
      </w:pPr>
      <w:r>
        <w:rPr>
          <w:rFonts w:hint="eastAsia" w:hAnsi="宋体" w:cs="宋体"/>
          <w:sz w:val="24"/>
        </w:rPr>
        <w:t>▲3.供应商响应折扣率低于30%的，应当在报价响应文件中详细阐述不影响诚信履约的具体原因。</w:t>
      </w:r>
    </w:p>
    <w:p>
      <w:pPr>
        <w:spacing w:line="440" w:lineRule="exact"/>
        <w:ind w:firstLine="424" w:firstLineChars="177"/>
        <w:jc w:val="left"/>
        <w:rPr>
          <w:rFonts w:hAnsi="宋体" w:cs="宋体"/>
          <w:sz w:val="24"/>
        </w:rPr>
      </w:pPr>
      <w:r>
        <w:rPr>
          <w:rFonts w:hint="eastAsia" w:hAnsi="宋体" w:cs="宋体"/>
          <w:sz w:val="24"/>
        </w:rPr>
        <w:t>4.投标报价应包括人工费、服务费、材料费、税费等其他一切费用。</w:t>
      </w:r>
    </w:p>
    <w:p>
      <w:pPr>
        <w:spacing w:line="440" w:lineRule="exact"/>
        <w:ind w:firstLine="424" w:firstLineChars="177"/>
        <w:jc w:val="left"/>
        <w:rPr>
          <w:rFonts w:hAnsi="宋体" w:cs="宋体"/>
          <w:color w:val="C00000"/>
          <w:sz w:val="24"/>
        </w:rPr>
      </w:pPr>
      <w:r>
        <w:rPr>
          <w:rFonts w:hint="eastAsia" w:hAnsi="宋体" w:cs="宋体"/>
          <w:sz w:val="24"/>
        </w:rPr>
        <w:t>▲5</w:t>
      </w:r>
      <w:r>
        <w:rPr>
          <w:rFonts w:hint="eastAsia" w:hAnsi="宋体" w:cs="宋体"/>
          <w:b/>
          <w:bCs/>
          <w:sz w:val="24"/>
        </w:rPr>
        <w:t>.特别约定事项：征集文件和政采云报价系统中出现的优惠率、折扣率等表述都理解为折扣，投标报价用折扣百分比（“XX%”）表示，即如原价为100元，打折扣或优惠后的价格为70元，则在本项目的报价中理解为：折扣=折扣率=优惠率=70%，折扣百分比越小优惠越大。</w:t>
      </w:r>
    </w:p>
    <w:p>
      <w:pPr>
        <w:spacing w:line="360" w:lineRule="auto"/>
        <w:ind w:firstLine="420" w:firstLineChars="200"/>
        <w:rPr>
          <w:color w:val="C00000"/>
        </w:rPr>
      </w:pPr>
    </w:p>
    <w:p>
      <w:pPr>
        <w:pStyle w:val="7"/>
        <w:snapToGrid w:val="0"/>
        <w:ind w:firstLine="480" w:firstLineChars="200"/>
        <w:jc w:val="center"/>
        <w:rPr>
          <w:rFonts w:ascii="宋体" w:hAnsi="宋体" w:eastAsia="宋体"/>
          <w:sz w:val="24"/>
          <w:u w:val="single"/>
        </w:rPr>
      </w:pPr>
      <w:r>
        <w:rPr>
          <w:rFonts w:hint="eastAsia" w:ascii="宋体" w:hAnsi="宋体" w:eastAsia="宋体" w:cs="宋体"/>
          <w:sz w:val="24"/>
          <w:szCs w:val="24"/>
        </w:rPr>
        <w:t>法定代表人或其授权代表（签字或盖章）</w:t>
      </w:r>
      <w:r>
        <w:rPr>
          <w:rFonts w:hint="eastAsia" w:ascii="宋体" w:hAnsi="宋体" w:eastAsia="宋体"/>
          <w:sz w:val="24"/>
        </w:rPr>
        <w:t>：</w:t>
      </w:r>
      <w:r>
        <w:rPr>
          <w:rFonts w:hint="eastAsia" w:ascii="宋体" w:hAnsi="宋体" w:eastAsia="宋体"/>
          <w:sz w:val="24"/>
          <w:u w:val="single"/>
        </w:rPr>
        <w:t xml:space="preserve">             　　</w:t>
      </w:r>
    </w:p>
    <w:p>
      <w:pPr>
        <w:snapToGrid w:val="0"/>
        <w:spacing w:before="50"/>
        <w:ind w:left="479" w:leftChars="228"/>
        <w:jc w:val="center"/>
        <w:rPr>
          <w:rFonts w:ascii="宋体" w:hAnsi="宋体" w:eastAsia="宋体"/>
          <w:sz w:val="24"/>
        </w:rPr>
      </w:pPr>
      <w:r>
        <w:rPr>
          <w:rFonts w:hint="eastAsia" w:ascii="宋体" w:hAnsi="宋体"/>
          <w:sz w:val="24"/>
        </w:rPr>
        <w:t xml:space="preserve">                  </w:t>
      </w:r>
      <w:r>
        <w:rPr>
          <w:rFonts w:hint="eastAsia" w:ascii="宋体" w:hAnsi="宋体" w:cs="宋体"/>
          <w:sz w:val="24"/>
        </w:rPr>
        <w:t>响应供应商（盖章）</w:t>
      </w:r>
      <w:r>
        <w:rPr>
          <w:rFonts w:hint="eastAsia" w:ascii="宋体" w:hAnsi="宋体"/>
          <w:sz w:val="24"/>
        </w:rPr>
        <w:t>：</w:t>
      </w:r>
      <w:r>
        <w:rPr>
          <w:rFonts w:hint="eastAsia" w:ascii="宋体" w:hAnsi="宋体"/>
          <w:sz w:val="24"/>
          <w:u w:val="single"/>
        </w:rPr>
        <w:t xml:space="preserve">                 </w:t>
      </w:r>
      <w:r>
        <w:rPr>
          <w:rFonts w:hint="eastAsia" w:ascii="宋体" w:hAnsi="宋体"/>
          <w:sz w:val="24"/>
        </w:rPr>
        <w:t xml:space="preserve">                                           </w:t>
      </w:r>
    </w:p>
    <w:p>
      <w:pPr>
        <w:snapToGrid w:val="0"/>
        <w:spacing w:before="156" w:beforeLines="50" w:after="50"/>
        <w:jc w:val="right"/>
        <w:rPr>
          <w:rFonts w:ascii="宋体" w:hAnsi="宋体"/>
          <w:sz w:val="24"/>
        </w:rPr>
      </w:pPr>
      <w:r>
        <w:rPr>
          <w:rFonts w:hint="eastAsia" w:ascii="宋体" w:hAnsi="宋体"/>
          <w:sz w:val="24"/>
        </w:rPr>
        <w:t>年    月   日</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t xml:space="preserve"> </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t xml:space="preserve"> </w: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9694876"/>
    </w:sdtPr>
    <w:sdtContent>
      <w:p>
        <w:pPr>
          <w:pStyle w:val="12"/>
          <w:jc w:val="center"/>
        </w:pPr>
        <w:r>
          <w:fldChar w:fldCharType="begin"/>
        </w:r>
        <w:r>
          <w:instrText xml:space="preserve">PAGE   \* MERGEFORMAT</w:instrText>
        </w:r>
        <w:r>
          <w:fldChar w:fldCharType="separate"/>
        </w:r>
        <w:r>
          <w:rPr>
            <w:lang w:val="zh-CN"/>
          </w:rPr>
          <w:t>10</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ascii="黑体" w:hAnsi="黑体" w:eastAsia="黑体"/>
        <w:sz w:val="20"/>
      </w:rPr>
      <w:t>金华市公共资源交易中心浦江县分中心                                    0579-88088931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ZGRkZDgxNjc5YWJhOTYzN2E1MmQ0YTEwMTNlZGMifQ=="/>
  </w:docVars>
  <w:rsids>
    <w:rsidRoot w:val="002962BD"/>
    <w:rsid w:val="00002A4A"/>
    <w:rsid w:val="00013859"/>
    <w:rsid w:val="0001448F"/>
    <w:rsid w:val="00023C51"/>
    <w:rsid w:val="0003157E"/>
    <w:rsid w:val="00051E75"/>
    <w:rsid w:val="000800E9"/>
    <w:rsid w:val="00085650"/>
    <w:rsid w:val="00092C6D"/>
    <w:rsid w:val="000B21C0"/>
    <w:rsid w:val="000B353A"/>
    <w:rsid w:val="000E4F9B"/>
    <w:rsid w:val="000E6E35"/>
    <w:rsid w:val="001108E6"/>
    <w:rsid w:val="001642A7"/>
    <w:rsid w:val="001660C5"/>
    <w:rsid w:val="001829BA"/>
    <w:rsid w:val="001A75C8"/>
    <w:rsid w:val="001C5D84"/>
    <w:rsid w:val="001C73E7"/>
    <w:rsid w:val="001F1431"/>
    <w:rsid w:val="001F32D9"/>
    <w:rsid w:val="00220445"/>
    <w:rsid w:val="00256659"/>
    <w:rsid w:val="002648E5"/>
    <w:rsid w:val="00265253"/>
    <w:rsid w:val="00281CA0"/>
    <w:rsid w:val="00284F90"/>
    <w:rsid w:val="00294596"/>
    <w:rsid w:val="002962BD"/>
    <w:rsid w:val="002A4B44"/>
    <w:rsid w:val="002A7580"/>
    <w:rsid w:val="002B1050"/>
    <w:rsid w:val="002C1116"/>
    <w:rsid w:val="002C68E4"/>
    <w:rsid w:val="002E0020"/>
    <w:rsid w:val="002F09BA"/>
    <w:rsid w:val="00303A99"/>
    <w:rsid w:val="00312066"/>
    <w:rsid w:val="003134DC"/>
    <w:rsid w:val="003268D1"/>
    <w:rsid w:val="00333F00"/>
    <w:rsid w:val="0034315C"/>
    <w:rsid w:val="00360302"/>
    <w:rsid w:val="00363041"/>
    <w:rsid w:val="00366DD3"/>
    <w:rsid w:val="00372B69"/>
    <w:rsid w:val="0037720B"/>
    <w:rsid w:val="00380AC5"/>
    <w:rsid w:val="00382F30"/>
    <w:rsid w:val="003857DC"/>
    <w:rsid w:val="003E429F"/>
    <w:rsid w:val="003E55F3"/>
    <w:rsid w:val="003F15F3"/>
    <w:rsid w:val="003F223D"/>
    <w:rsid w:val="0042164D"/>
    <w:rsid w:val="0043239F"/>
    <w:rsid w:val="00434B49"/>
    <w:rsid w:val="00451497"/>
    <w:rsid w:val="00477330"/>
    <w:rsid w:val="004B38A9"/>
    <w:rsid w:val="004D01B6"/>
    <w:rsid w:val="004E383F"/>
    <w:rsid w:val="004F171F"/>
    <w:rsid w:val="00500432"/>
    <w:rsid w:val="005302CA"/>
    <w:rsid w:val="00533504"/>
    <w:rsid w:val="005373FF"/>
    <w:rsid w:val="00553E2B"/>
    <w:rsid w:val="00553F3E"/>
    <w:rsid w:val="00571DCD"/>
    <w:rsid w:val="00595057"/>
    <w:rsid w:val="005A652B"/>
    <w:rsid w:val="005C29C5"/>
    <w:rsid w:val="005E4C20"/>
    <w:rsid w:val="00615B88"/>
    <w:rsid w:val="00617C32"/>
    <w:rsid w:val="0063279E"/>
    <w:rsid w:val="0064743C"/>
    <w:rsid w:val="006553F5"/>
    <w:rsid w:val="00675151"/>
    <w:rsid w:val="006859C0"/>
    <w:rsid w:val="006D39EB"/>
    <w:rsid w:val="006F4421"/>
    <w:rsid w:val="0070438A"/>
    <w:rsid w:val="007240C5"/>
    <w:rsid w:val="0073177A"/>
    <w:rsid w:val="00735F6C"/>
    <w:rsid w:val="00742BDC"/>
    <w:rsid w:val="007610C1"/>
    <w:rsid w:val="00761EB4"/>
    <w:rsid w:val="0076748C"/>
    <w:rsid w:val="00772C68"/>
    <w:rsid w:val="007755BA"/>
    <w:rsid w:val="00781A06"/>
    <w:rsid w:val="007918B8"/>
    <w:rsid w:val="007A41AF"/>
    <w:rsid w:val="007B5C5F"/>
    <w:rsid w:val="007C270F"/>
    <w:rsid w:val="0080548D"/>
    <w:rsid w:val="00806654"/>
    <w:rsid w:val="00810648"/>
    <w:rsid w:val="00823E2A"/>
    <w:rsid w:val="00830BD2"/>
    <w:rsid w:val="008449C3"/>
    <w:rsid w:val="00846A9B"/>
    <w:rsid w:val="008868DF"/>
    <w:rsid w:val="008A02CF"/>
    <w:rsid w:val="008A4CA3"/>
    <w:rsid w:val="008A7B9C"/>
    <w:rsid w:val="008B0DAF"/>
    <w:rsid w:val="008B2B78"/>
    <w:rsid w:val="008C46F8"/>
    <w:rsid w:val="008E0085"/>
    <w:rsid w:val="008E041C"/>
    <w:rsid w:val="008F0AB7"/>
    <w:rsid w:val="008F47C7"/>
    <w:rsid w:val="00901BA8"/>
    <w:rsid w:val="009059A9"/>
    <w:rsid w:val="00917DF2"/>
    <w:rsid w:val="009438FF"/>
    <w:rsid w:val="009456A6"/>
    <w:rsid w:val="00976CD4"/>
    <w:rsid w:val="0098444B"/>
    <w:rsid w:val="009846A3"/>
    <w:rsid w:val="00993880"/>
    <w:rsid w:val="009966F1"/>
    <w:rsid w:val="009A0288"/>
    <w:rsid w:val="009C36E2"/>
    <w:rsid w:val="009E5695"/>
    <w:rsid w:val="009F7157"/>
    <w:rsid w:val="00A03A27"/>
    <w:rsid w:val="00A040DB"/>
    <w:rsid w:val="00A07334"/>
    <w:rsid w:val="00A248FE"/>
    <w:rsid w:val="00A25D93"/>
    <w:rsid w:val="00A315DA"/>
    <w:rsid w:val="00A40524"/>
    <w:rsid w:val="00A431BC"/>
    <w:rsid w:val="00A43CD2"/>
    <w:rsid w:val="00A65925"/>
    <w:rsid w:val="00A91D4D"/>
    <w:rsid w:val="00A93286"/>
    <w:rsid w:val="00AD29BF"/>
    <w:rsid w:val="00B0275A"/>
    <w:rsid w:val="00B15B02"/>
    <w:rsid w:val="00B15C16"/>
    <w:rsid w:val="00B3378F"/>
    <w:rsid w:val="00B426EE"/>
    <w:rsid w:val="00B63BBF"/>
    <w:rsid w:val="00B65874"/>
    <w:rsid w:val="00B76EA4"/>
    <w:rsid w:val="00B9555A"/>
    <w:rsid w:val="00B95F6C"/>
    <w:rsid w:val="00BA7EF7"/>
    <w:rsid w:val="00BC12D3"/>
    <w:rsid w:val="00BF25A6"/>
    <w:rsid w:val="00C1152F"/>
    <w:rsid w:val="00C14652"/>
    <w:rsid w:val="00C3087B"/>
    <w:rsid w:val="00C33563"/>
    <w:rsid w:val="00C41979"/>
    <w:rsid w:val="00C62BE1"/>
    <w:rsid w:val="00C665A6"/>
    <w:rsid w:val="00C833E8"/>
    <w:rsid w:val="00C85C1D"/>
    <w:rsid w:val="00C86EB7"/>
    <w:rsid w:val="00CA4165"/>
    <w:rsid w:val="00CB0816"/>
    <w:rsid w:val="00CC462C"/>
    <w:rsid w:val="00CF24A0"/>
    <w:rsid w:val="00CF5DFE"/>
    <w:rsid w:val="00D023C4"/>
    <w:rsid w:val="00D13CAE"/>
    <w:rsid w:val="00D47B23"/>
    <w:rsid w:val="00D54683"/>
    <w:rsid w:val="00D5775C"/>
    <w:rsid w:val="00D61FBD"/>
    <w:rsid w:val="00D6534F"/>
    <w:rsid w:val="00D66315"/>
    <w:rsid w:val="00D754E1"/>
    <w:rsid w:val="00D76AB1"/>
    <w:rsid w:val="00DB0062"/>
    <w:rsid w:val="00DC46AD"/>
    <w:rsid w:val="00DE686F"/>
    <w:rsid w:val="00DE7FF6"/>
    <w:rsid w:val="00DF41D9"/>
    <w:rsid w:val="00DF695A"/>
    <w:rsid w:val="00E127D9"/>
    <w:rsid w:val="00E256C1"/>
    <w:rsid w:val="00E32520"/>
    <w:rsid w:val="00E36383"/>
    <w:rsid w:val="00E42137"/>
    <w:rsid w:val="00E6068F"/>
    <w:rsid w:val="00E66845"/>
    <w:rsid w:val="00E7494C"/>
    <w:rsid w:val="00E877A9"/>
    <w:rsid w:val="00EA59C2"/>
    <w:rsid w:val="00EC1103"/>
    <w:rsid w:val="00EC1590"/>
    <w:rsid w:val="00ED5D03"/>
    <w:rsid w:val="00EF7746"/>
    <w:rsid w:val="00F0233E"/>
    <w:rsid w:val="00F028D6"/>
    <w:rsid w:val="00F11988"/>
    <w:rsid w:val="00F5427F"/>
    <w:rsid w:val="00F752DA"/>
    <w:rsid w:val="00FA1DB7"/>
    <w:rsid w:val="00FB31C3"/>
    <w:rsid w:val="00FC241D"/>
    <w:rsid w:val="00FD0DAB"/>
    <w:rsid w:val="00FD6318"/>
    <w:rsid w:val="00FD6547"/>
    <w:rsid w:val="00FE3F35"/>
    <w:rsid w:val="00FF1856"/>
    <w:rsid w:val="02355837"/>
    <w:rsid w:val="02444EA7"/>
    <w:rsid w:val="0A60218D"/>
    <w:rsid w:val="0D3F1E1B"/>
    <w:rsid w:val="0DFC768C"/>
    <w:rsid w:val="11D91691"/>
    <w:rsid w:val="13042929"/>
    <w:rsid w:val="156A35F2"/>
    <w:rsid w:val="1CD3167C"/>
    <w:rsid w:val="226F701B"/>
    <w:rsid w:val="34E37930"/>
    <w:rsid w:val="370E7E29"/>
    <w:rsid w:val="3C216ADB"/>
    <w:rsid w:val="445C54F5"/>
    <w:rsid w:val="4BC86865"/>
    <w:rsid w:val="4E9B7C78"/>
    <w:rsid w:val="51A927D1"/>
    <w:rsid w:val="543C7DE7"/>
    <w:rsid w:val="562968C6"/>
    <w:rsid w:val="56B92D6F"/>
    <w:rsid w:val="5CC70363"/>
    <w:rsid w:val="5D9E588D"/>
    <w:rsid w:val="62C3746A"/>
    <w:rsid w:val="63353DC0"/>
    <w:rsid w:val="66EA6DDD"/>
    <w:rsid w:val="686D1FF8"/>
    <w:rsid w:val="6DC77BDE"/>
    <w:rsid w:val="724711CE"/>
    <w:rsid w:val="74CE4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autoRedefine/>
    <w:qFormat/>
    <w:uiPriority w:val="9"/>
    <w:pPr>
      <w:keepNext/>
      <w:keepLines/>
      <w:adjustRightInd w:val="0"/>
      <w:snapToGrid w:val="0"/>
      <w:spacing w:line="440" w:lineRule="exact"/>
      <w:jc w:val="center"/>
      <w:outlineLvl w:val="0"/>
    </w:pPr>
    <w:rPr>
      <w:b/>
      <w:bCs/>
      <w:kern w:val="44"/>
      <w:sz w:val="28"/>
      <w:szCs w:val="28"/>
    </w:rPr>
  </w:style>
  <w:style w:type="paragraph" w:styleId="3">
    <w:name w:val="heading 2"/>
    <w:basedOn w:val="1"/>
    <w:next w:val="1"/>
    <w:link w:val="27"/>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autoRedefine/>
    <w:unhideWhenUsed/>
    <w:qFormat/>
    <w:uiPriority w:val="9"/>
    <w:pPr>
      <w:keepNext/>
      <w:keepLines/>
      <w:spacing w:before="260" w:after="260" w:line="416" w:lineRule="auto"/>
      <w:outlineLvl w:val="2"/>
    </w:pPr>
    <w:rPr>
      <w:b/>
      <w:bCs/>
      <w:sz w:val="32"/>
      <w:szCs w:val="32"/>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6"/>
    <w:link w:val="33"/>
    <w:autoRedefine/>
    <w:qFormat/>
    <w:uiPriority w:val="0"/>
    <w:pPr>
      <w:ind w:firstLine="420"/>
    </w:pPr>
    <w:rPr>
      <w:rFonts w:ascii="Times New Roman" w:hAnsi="Times New Roman" w:eastAsia="宋体" w:cs="Times New Roman"/>
      <w:szCs w:val="20"/>
    </w:rPr>
  </w:style>
  <w:style w:type="paragraph" w:styleId="6">
    <w:name w:val="Body Text Indent"/>
    <w:basedOn w:val="1"/>
    <w:link w:val="34"/>
    <w:autoRedefine/>
    <w:unhideWhenUsed/>
    <w:qFormat/>
    <w:uiPriority w:val="99"/>
    <w:pPr>
      <w:spacing w:after="120"/>
      <w:ind w:left="420" w:leftChars="200"/>
    </w:pPr>
  </w:style>
  <w:style w:type="paragraph" w:styleId="7">
    <w:name w:val="caption"/>
    <w:basedOn w:val="1"/>
    <w:next w:val="1"/>
    <w:autoRedefine/>
    <w:semiHidden/>
    <w:unhideWhenUsed/>
    <w:qFormat/>
    <w:uiPriority w:val="0"/>
    <w:pPr>
      <w:spacing w:before="152" w:after="160"/>
    </w:pPr>
    <w:rPr>
      <w:rFonts w:ascii="Arial" w:hAnsi="Arial" w:eastAsia="黑体" w:cs="Arial"/>
      <w:sz w:val="20"/>
      <w:szCs w:val="20"/>
    </w:rPr>
  </w:style>
  <w:style w:type="paragraph" w:styleId="8">
    <w:name w:val="Body Text"/>
    <w:basedOn w:val="1"/>
    <w:link w:val="37"/>
    <w:autoRedefine/>
    <w:unhideWhenUsed/>
    <w:qFormat/>
    <w:uiPriority w:val="99"/>
    <w:pPr>
      <w:spacing w:after="120"/>
    </w:pPr>
  </w:style>
  <w:style w:type="paragraph" w:styleId="9">
    <w:name w:val="toc 3"/>
    <w:basedOn w:val="1"/>
    <w:next w:val="1"/>
    <w:autoRedefine/>
    <w:semiHidden/>
    <w:unhideWhenUsed/>
    <w:qFormat/>
    <w:uiPriority w:val="39"/>
    <w:pPr>
      <w:widowControl/>
      <w:spacing w:after="100" w:line="276" w:lineRule="auto"/>
      <w:ind w:left="440"/>
      <w:jc w:val="left"/>
    </w:pPr>
    <w:rPr>
      <w:kern w:val="0"/>
      <w:sz w:val="22"/>
    </w:rPr>
  </w:style>
  <w:style w:type="paragraph" w:styleId="10">
    <w:name w:val="Plain Text"/>
    <w:basedOn w:val="1"/>
    <w:link w:val="28"/>
    <w:autoRedefine/>
    <w:qFormat/>
    <w:uiPriority w:val="0"/>
    <w:pPr>
      <w:adjustRightInd w:val="0"/>
      <w:snapToGrid w:val="0"/>
      <w:spacing w:line="440" w:lineRule="exact"/>
      <w:ind w:firstLine="480" w:firstLineChars="200"/>
      <w:jc w:val="left"/>
    </w:pPr>
    <w:rPr>
      <w:rFonts w:ascii="宋体" w:hAnsi="Courier New" w:eastAsia="宋体" w:cs="Times New Roman"/>
      <w:sz w:val="24"/>
      <w:szCs w:val="24"/>
    </w:rPr>
  </w:style>
  <w:style w:type="paragraph" w:styleId="11">
    <w:name w:val="Balloon Text"/>
    <w:basedOn w:val="1"/>
    <w:link w:val="36"/>
    <w:autoRedefine/>
    <w:semiHidden/>
    <w:unhideWhenUsed/>
    <w:qFormat/>
    <w:uiPriority w:val="99"/>
    <w:rPr>
      <w:sz w:val="18"/>
      <w:szCs w:val="18"/>
    </w:rPr>
  </w:style>
  <w:style w:type="paragraph" w:styleId="12">
    <w:name w:val="footer"/>
    <w:basedOn w:val="1"/>
    <w:link w:val="25"/>
    <w:autoRedefine/>
    <w:unhideWhenUsed/>
    <w:qFormat/>
    <w:uiPriority w:val="99"/>
    <w:pPr>
      <w:tabs>
        <w:tab w:val="center" w:pos="4153"/>
        <w:tab w:val="right" w:pos="8306"/>
      </w:tabs>
      <w:snapToGrid w:val="0"/>
      <w:jc w:val="left"/>
    </w:pPr>
    <w:rPr>
      <w:sz w:val="18"/>
      <w:szCs w:val="18"/>
    </w:rPr>
  </w:style>
  <w:style w:type="paragraph" w:styleId="13">
    <w:name w:val="header"/>
    <w:basedOn w:val="1"/>
    <w:link w:val="2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unhideWhenUsed/>
    <w:qFormat/>
    <w:uiPriority w:val="39"/>
    <w:pPr>
      <w:widowControl/>
      <w:tabs>
        <w:tab w:val="right" w:leader="dot" w:pos="8296"/>
      </w:tabs>
      <w:spacing w:after="100" w:line="276" w:lineRule="auto"/>
      <w:ind w:firstLine="426"/>
      <w:jc w:val="left"/>
    </w:pPr>
    <w:rPr>
      <w:kern w:val="0"/>
      <w:sz w:val="22"/>
    </w:rPr>
  </w:style>
  <w:style w:type="paragraph" w:styleId="15">
    <w:name w:val="toc 2"/>
    <w:basedOn w:val="1"/>
    <w:next w:val="1"/>
    <w:autoRedefine/>
    <w:semiHidden/>
    <w:unhideWhenUsed/>
    <w:qFormat/>
    <w:uiPriority w:val="39"/>
    <w:pPr>
      <w:widowControl/>
      <w:spacing w:after="100" w:line="276" w:lineRule="auto"/>
      <w:ind w:left="220"/>
      <w:jc w:val="left"/>
    </w:pPr>
    <w:rPr>
      <w:kern w:val="0"/>
      <w:sz w:val="22"/>
    </w:rPr>
  </w:style>
  <w:style w:type="paragraph" w:styleId="16">
    <w:name w:val="Body Text 2"/>
    <w:basedOn w:val="1"/>
    <w:link w:val="29"/>
    <w:autoRedefine/>
    <w:qFormat/>
    <w:uiPriority w:val="99"/>
    <w:pPr>
      <w:widowControl/>
      <w:snapToGrid w:val="0"/>
      <w:spacing w:before="50" w:afterLines="50" w:line="400" w:lineRule="exact"/>
      <w:jc w:val="left"/>
    </w:pPr>
    <w:rPr>
      <w:rFonts w:ascii="宋体" w:hAnsi="宋体" w:eastAsia="宋体" w:cs="Times New Roman"/>
      <w:color w:val="000000"/>
      <w:sz w:val="24"/>
      <w:szCs w:val="24"/>
    </w:rPr>
  </w:style>
  <w:style w:type="paragraph" w:styleId="17">
    <w:name w:val="Normal (Web)"/>
    <w:basedOn w:val="1"/>
    <w:autoRedefine/>
    <w:qFormat/>
    <w:uiPriority w:val="0"/>
    <w:pPr>
      <w:jc w:val="left"/>
    </w:pPr>
    <w:rPr>
      <w:rFonts w:ascii="Times New Roman" w:hAnsi="Times New Roman" w:eastAsia="宋体" w:cs="Times New Roman"/>
      <w:kern w:val="0"/>
      <w:sz w:val="24"/>
      <w:szCs w:val="20"/>
    </w:rPr>
  </w:style>
  <w:style w:type="paragraph" w:styleId="18">
    <w:name w:val="Body Text First Indent 2"/>
    <w:basedOn w:val="6"/>
    <w:link w:val="38"/>
    <w:autoRedefine/>
    <w:semiHidden/>
    <w:unhideWhenUsed/>
    <w:qFormat/>
    <w:uiPriority w:val="99"/>
    <w:pPr>
      <w:ind w:firstLine="420" w:firstLineChars="200"/>
    </w:pPr>
  </w:style>
  <w:style w:type="table" w:styleId="20">
    <w:name w:val="Table Grid"/>
    <w:basedOn w:val="19"/>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autoRedefine/>
    <w:qFormat/>
    <w:uiPriority w:val="22"/>
    <w:rPr>
      <w:b/>
      <w:bCs/>
    </w:rPr>
  </w:style>
  <w:style w:type="character" w:styleId="23">
    <w:name w:val="Hyperlink"/>
    <w:basedOn w:val="21"/>
    <w:autoRedefine/>
    <w:unhideWhenUsed/>
    <w:qFormat/>
    <w:uiPriority w:val="99"/>
    <w:rPr>
      <w:color w:val="0000FF" w:themeColor="hyperlink"/>
      <w:u w:val="single"/>
      <w14:textFill>
        <w14:solidFill>
          <w14:schemeClr w14:val="hlink"/>
        </w14:solidFill>
      </w14:textFill>
    </w:rPr>
  </w:style>
  <w:style w:type="character" w:customStyle="1" w:styleId="24">
    <w:name w:val="页眉 字符"/>
    <w:basedOn w:val="21"/>
    <w:link w:val="13"/>
    <w:autoRedefine/>
    <w:qFormat/>
    <w:uiPriority w:val="99"/>
    <w:rPr>
      <w:sz w:val="18"/>
      <w:szCs w:val="18"/>
    </w:rPr>
  </w:style>
  <w:style w:type="character" w:customStyle="1" w:styleId="25">
    <w:name w:val="页脚 字符"/>
    <w:basedOn w:val="21"/>
    <w:link w:val="12"/>
    <w:autoRedefine/>
    <w:qFormat/>
    <w:uiPriority w:val="99"/>
    <w:rPr>
      <w:sz w:val="18"/>
      <w:szCs w:val="18"/>
    </w:rPr>
  </w:style>
  <w:style w:type="character" w:customStyle="1" w:styleId="26">
    <w:name w:val="标题 1 字符"/>
    <w:basedOn w:val="21"/>
    <w:link w:val="2"/>
    <w:autoRedefine/>
    <w:qFormat/>
    <w:uiPriority w:val="9"/>
    <w:rPr>
      <w:rFonts w:asciiTheme="minorHAnsi" w:hAnsiTheme="minorHAnsi" w:eastAsiaTheme="minorEastAsia" w:cstheme="minorBidi"/>
      <w:b/>
      <w:bCs/>
      <w:kern w:val="44"/>
      <w:sz w:val="28"/>
      <w:szCs w:val="28"/>
    </w:rPr>
  </w:style>
  <w:style w:type="character" w:customStyle="1" w:styleId="27">
    <w:name w:val="标题 2 字符"/>
    <w:basedOn w:val="21"/>
    <w:link w:val="3"/>
    <w:autoRedefine/>
    <w:qFormat/>
    <w:uiPriority w:val="9"/>
    <w:rPr>
      <w:rFonts w:asciiTheme="majorHAnsi" w:hAnsiTheme="majorHAnsi" w:eastAsiaTheme="majorEastAsia" w:cstheme="majorBidi"/>
      <w:b/>
      <w:bCs/>
      <w:sz w:val="32"/>
      <w:szCs w:val="32"/>
    </w:rPr>
  </w:style>
  <w:style w:type="character" w:customStyle="1" w:styleId="28">
    <w:name w:val="纯文本 字符"/>
    <w:basedOn w:val="21"/>
    <w:link w:val="10"/>
    <w:autoRedefine/>
    <w:qFormat/>
    <w:uiPriority w:val="0"/>
    <w:rPr>
      <w:rFonts w:ascii="宋体" w:hAnsi="Courier New"/>
      <w:kern w:val="2"/>
      <w:sz w:val="24"/>
      <w:szCs w:val="24"/>
    </w:rPr>
  </w:style>
  <w:style w:type="character" w:customStyle="1" w:styleId="29">
    <w:name w:val="正文文本 2 字符"/>
    <w:basedOn w:val="21"/>
    <w:link w:val="16"/>
    <w:autoRedefine/>
    <w:qFormat/>
    <w:uiPriority w:val="99"/>
    <w:rPr>
      <w:rFonts w:ascii="宋体" w:hAnsi="宋体" w:eastAsia="宋体" w:cs="Times New Roman"/>
      <w:color w:val="000000"/>
      <w:sz w:val="24"/>
      <w:szCs w:val="24"/>
    </w:rPr>
  </w:style>
  <w:style w:type="paragraph" w:styleId="30">
    <w:name w:val="List Paragraph"/>
    <w:basedOn w:val="1"/>
    <w:autoRedefine/>
    <w:qFormat/>
    <w:uiPriority w:val="0"/>
    <w:pPr>
      <w:ind w:firstLine="420" w:firstLineChars="200"/>
    </w:pPr>
    <w:rPr>
      <w:rFonts w:ascii="Times New Roman" w:hAnsi="Times New Roman" w:eastAsia="宋体" w:cs="Times New Roman"/>
    </w:rPr>
  </w:style>
  <w:style w:type="character" w:customStyle="1" w:styleId="31">
    <w:name w:val="标题 3 字符"/>
    <w:basedOn w:val="21"/>
    <w:link w:val="4"/>
    <w:autoRedefine/>
    <w:qFormat/>
    <w:uiPriority w:val="9"/>
    <w:rPr>
      <w:b/>
      <w:bCs/>
      <w:sz w:val="32"/>
      <w:szCs w:val="32"/>
    </w:rPr>
  </w:style>
  <w:style w:type="paragraph" w:customStyle="1" w:styleId="32">
    <w:name w:val="正文2"/>
    <w:basedOn w:val="1"/>
    <w:autoRedefine/>
    <w:qFormat/>
    <w:uiPriority w:val="0"/>
    <w:pPr>
      <w:spacing w:before="156" w:line="360" w:lineRule="auto"/>
      <w:ind w:firstLine="510" w:firstLineChars="200"/>
    </w:pPr>
    <w:rPr>
      <w:rFonts w:ascii="Times New Roman" w:hAnsi="Times New Roman" w:eastAsia="宋体" w:cs="宋体"/>
      <w:sz w:val="24"/>
      <w:szCs w:val="20"/>
    </w:rPr>
  </w:style>
  <w:style w:type="character" w:customStyle="1" w:styleId="33">
    <w:name w:val="正文缩进 字符"/>
    <w:link w:val="5"/>
    <w:autoRedefine/>
    <w:qFormat/>
    <w:uiPriority w:val="0"/>
    <w:rPr>
      <w:rFonts w:ascii="Times New Roman" w:hAnsi="Times New Roman" w:eastAsia="宋体" w:cs="Times New Roman"/>
      <w:szCs w:val="20"/>
    </w:rPr>
  </w:style>
  <w:style w:type="character" w:customStyle="1" w:styleId="34">
    <w:name w:val="正文文本缩进 字符"/>
    <w:basedOn w:val="21"/>
    <w:link w:val="6"/>
    <w:autoRedefine/>
    <w:qFormat/>
    <w:uiPriority w:val="99"/>
  </w:style>
  <w:style w:type="paragraph" w:customStyle="1" w:styleId="35">
    <w:name w:val="TOC 标题1"/>
    <w:basedOn w:val="2"/>
    <w:next w:val="1"/>
    <w:autoRedefine/>
    <w:semiHidden/>
    <w:unhideWhenUsed/>
    <w:qFormat/>
    <w:uiPriority w:val="39"/>
    <w:pPr>
      <w:widowControl/>
      <w:spacing w:before="480" w:line="276" w:lineRule="auto"/>
      <w:jc w:val="left"/>
      <w:outlineLvl w:val="9"/>
    </w:pPr>
    <w:rPr>
      <w:rFonts w:asciiTheme="majorHAnsi" w:hAnsiTheme="majorHAnsi" w:eastAsiaTheme="majorEastAsia" w:cstheme="majorBidi"/>
      <w:color w:val="376092" w:themeColor="accent1" w:themeShade="BF"/>
      <w:kern w:val="0"/>
    </w:rPr>
  </w:style>
  <w:style w:type="character" w:customStyle="1" w:styleId="36">
    <w:name w:val="批注框文本 字符"/>
    <w:basedOn w:val="21"/>
    <w:link w:val="11"/>
    <w:autoRedefine/>
    <w:semiHidden/>
    <w:qFormat/>
    <w:uiPriority w:val="99"/>
    <w:rPr>
      <w:sz w:val="18"/>
      <w:szCs w:val="18"/>
    </w:rPr>
  </w:style>
  <w:style w:type="character" w:customStyle="1" w:styleId="37">
    <w:name w:val="正文文本 字符"/>
    <w:basedOn w:val="21"/>
    <w:link w:val="8"/>
    <w:autoRedefine/>
    <w:qFormat/>
    <w:uiPriority w:val="99"/>
  </w:style>
  <w:style w:type="character" w:customStyle="1" w:styleId="38">
    <w:name w:val="正文文本首行缩进 2 字符"/>
    <w:basedOn w:val="34"/>
    <w:link w:val="18"/>
    <w:autoRedefine/>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146934-4CF4-44F7-8491-7F6E189C8CFC}">
  <ds:schemaRefs/>
</ds:datastoreItem>
</file>

<file path=docProps/app.xml><?xml version="1.0" encoding="utf-8"?>
<Properties xmlns="http://schemas.openxmlformats.org/officeDocument/2006/extended-properties" xmlns:vt="http://schemas.openxmlformats.org/officeDocument/2006/docPropsVTypes">
  <Template>Normal</Template>
  <Company>政府机关</Company>
  <Pages>59</Pages>
  <Words>4578</Words>
  <Characters>26098</Characters>
  <Lines>217</Lines>
  <Paragraphs>61</Paragraphs>
  <TotalTime>7</TotalTime>
  <ScaleCrop>false</ScaleCrop>
  <LinksUpToDate>false</LinksUpToDate>
  <CharactersWithSpaces>30615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2024-02-22T03:35:00Z</dcterms:created>
  <dc:creator>pjccs</dc:creator>
  <cp:lastModifiedBy>扯淡</cp:lastModifiedBy>
  <dcterms:modified xsi:type="dcterms:W3CDTF">2024-04-07T09:32:51Z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5B8E5E5C79DE4EB389BA413F9854D21D_13</vt:lpwstr>
  </property>
</Properties>
</file>