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8A" w:rsidRPr="00D968AC" w:rsidRDefault="00FA018A" w:rsidP="00FA018A">
      <w:pPr>
        <w:rPr>
          <w:rFonts w:ascii="Times New Roman" w:hAnsi="Times New Roman"/>
          <w:b/>
          <w:sz w:val="36"/>
          <w:szCs w:val="36"/>
        </w:rPr>
      </w:pPr>
      <w:r w:rsidRPr="00D968AC">
        <w:rPr>
          <w:rFonts w:ascii="Times New Roman" w:eastAsia="黑体" w:hAnsi="Times New Roman"/>
          <w:sz w:val="32"/>
          <w:szCs w:val="32"/>
        </w:rPr>
        <w:t>附件：</w:t>
      </w:r>
      <w:r w:rsidRPr="00D968AC">
        <w:rPr>
          <w:rFonts w:ascii="Times New Roman" w:hAnsi="Times New Roman"/>
          <w:b/>
          <w:sz w:val="36"/>
          <w:szCs w:val="36"/>
        </w:rPr>
        <w:t xml:space="preserve"> </w:t>
      </w:r>
    </w:p>
    <w:p w:rsidR="00FA018A" w:rsidRPr="00D968AC" w:rsidRDefault="00FA018A" w:rsidP="00FA018A">
      <w:pPr>
        <w:jc w:val="center"/>
        <w:rPr>
          <w:rFonts w:ascii="Times New Roman" w:hAnsi="Times New Roman"/>
          <w:b/>
          <w:sz w:val="36"/>
          <w:szCs w:val="36"/>
        </w:rPr>
      </w:pPr>
      <w:r w:rsidRPr="00D968AC">
        <w:rPr>
          <w:rFonts w:ascii="Times New Roman" w:hAnsi="Times New Roman"/>
          <w:b/>
          <w:sz w:val="36"/>
          <w:szCs w:val="36"/>
        </w:rPr>
        <w:t>2021</w:t>
      </w:r>
      <w:r w:rsidRPr="00D968AC">
        <w:rPr>
          <w:rFonts w:ascii="Times New Roman" w:hAnsi="Times New Roman"/>
          <w:b/>
          <w:sz w:val="36"/>
          <w:szCs w:val="36"/>
        </w:rPr>
        <w:t>年县属医疗卫生单位人才引进计划表</w:t>
      </w:r>
    </w:p>
    <w:tbl>
      <w:tblPr>
        <w:tblW w:w="134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9"/>
        <w:gridCol w:w="3402"/>
        <w:gridCol w:w="1701"/>
        <w:gridCol w:w="2268"/>
      </w:tblGrid>
      <w:tr w:rsidR="00FA018A" w:rsidRPr="00D968AC" w:rsidTr="008146A7">
        <w:trPr>
          <w:tblHeader/>
        </w:trPr>
        <w:tc>
          <w:tcPr>
            <w:tcW w:w="2977" w:type="dxa"/>
          </w:tcPr>
          <w:p w:rsidR="00FA018A" w:rsidRPr="00D968AC" w:rsidRDefault="00FA018A" w:rsidP="008146A7">
            <w:pPr>
              <w:adjustRightInd w:val="0"/>
              <w:snapToGrid w:val="0"/>
              <w:spacing w:line="400" w:lineRule="exact"/>
              <w:jc w:val="center"/>
              <w:rPr>
                <w:rFonts w:ascii="Times New Roman" w:eastAsia="黑体" w:hAnsi="Times New Roman"/>
                <w:sz w:val="28"/>
                <w:szCs w:val="28"/>
              </w:rPr>
            </w:pPr>
            <w:r w:rsidRPr="00D968AC">
              <w:rPr>
                <w:rFonts w:ascii="Times New Roman" w:eastAsia="黑体" w:hAnsi="Times New Roman"/>
                <w:sz w:val="28"/>
                <w:szCs w:val="28"/>
              </w:rPr>
              <w:t>单位</w:t>
            </w:r>
          </w:p>
        </w:tc>
        <w:tc>
          <w:tcPr>
            <w:tcW w:w="3119" w:type="dxa"/>
          </w:tcPr>
          <w:p w:rsidR="00FA018A" w:rsidRPr="00D968AC" w:rsidRDefault="00FA018A" w:rsidP="008146A7">
            <w:pPr>
              <w:adjustRightInd w:val="0"/>
              <w:snapToGrid w:val="0"/>
              <w:spacing w:line="400" w:lineRule="exact"/>
              <w:jc w:val="center"/>
              <w:rPr>
                <w:rFonts w:ascii="Times New Roman" w:eastAsia="黑体" w:hAnsi="Times New Roman"/>
                <w:sz w:val="28"/>
                <w:szCs w:val="28"/>
              </w:rPr>
            </w:pPr>
            <w:r w:rsidRPr="00D968AC">
              <w:rPr>
                <w:rFonts w:ascii="Times New Roman" w:eastAsia="黑体" w:hAnsi="Times New Roman"/>
                <w:sz w:val="28"/>
                <w:szCs w:val="28"/>
              </w:rPr>
              <w:t>专业要求</w:t>
            </w:r>
          </w:p>
        </w:tc>
        <w:tc>
          <w:tcPr>
            <w:tcW w:w="3402" w:type="dxa"/>
          </w:tcPr>
          <w:p w:rsidR="00FA018A" w:rsidRPr="00D968AC" w:rsidRDefault="00FA018A" w:rsidP="008146A7">
            <w:pPr>
              <w:adjustRightInd w:val="0"/>
              <w:snapToGrid w:val="0"/>
              <w:spacing w:line="400" w:lineRule="exact"/>
              <w:jc w:val="center"/>
              <w:rPr>
                <w:rFonts w:ascii="Times New Roman" w:eastAsia="黑体" w:hAnsi="Times New Roman"/>
                <w:sz w:val="28"/>
                <w:szCs w:val="28"/>
              </w:rPr>
            </w:pPr>
            <w:r w:rsidRPr="00D968AC">
              <w:rPr>
                <w:rFonts w:ascii="Times New Roman" w:eastAsia="黑体" w:hAnsi="Times New Roman"/>
                <w:sz w:val="28"/>
                <w:szCs w:val="28"/>
              </w:rPr>
              <w:t>学历学位要求</w:t>
            </w:r>
          </w:p>
        </w:tc>
        <w:tc>
          <w:tcPr>
            <w:tcW w:w="1701" w:type="dxa"/>
          </w:tcPr>
          <w:p w:rsidR="00FA018A" w:rsidRPr="00D968AC" w:rsidRDefault="00FA018A" w:rsidP="008146A7">
            <w:pPr>
              <w:adjustRightInd w:val="0"/>
              <w:snapToGrid w:val="0"/>
              <w:spacing w:line="400" w:lineRule="exact"/>
              <w:jc w:val="center"/>
              <w:rPr>
                <w:rFonts w:ascii="Times New Roman" w:eastAsia="黑体" w:hAnsi="Times New Roman"/>
                <w:sz w:val="28"/>
                <w:szCs w:val="28"/>
              </w:rPr>
            </w:pPr>
            <w:r w:rsidRPr="00D968AC">
              <w:rPr>
                <w:rFonts w:ascii="Times New Roman" w:eastAsia="黑体" w:hAnsi="Times New Roman"/>
                <w:sz w:val="28"/>
                <w:szCs w:val="28"/>
              </w:rPr>
              <w:t>数量（人）</w:t>
            </w:r>
          </w:p>
        </w:tc>
        <w:tc>
          <w:tcPr>
            <w:tcW w:w="2268" w:type="dxa"/>
          </w:tcPr>
          <w:p w:rsidR="00FA018A" w:rsidRPr="00D968AC" w:rsidRDefault="00FA018A" w:rsidP="008146A7">
            <w:pPr>
              <w:adjustRightInd w:val="0"/>
              <w:snapToGrid w:val="0"/>
              <w:spacing w:line="400" w:lineRule="exact"/>
              <w:jc w:val="center"/>
              <w:rPr>
                <w:rFonts w:ascii="Times New Roman" w:eastAsia="黑体" w:hAnsi="Times New Roman"/>
                <w:sz w:val="28"/>
                <w:szCs w:val="28"/>
              </w:rPr>
            </w:pPr>
            <w:r w:rsidRPr="00D968AC">
              <w:rPr>
                <w:rFonts w:ascii="Times New Roman" w:eastAsia="黑体" w:hAnsi="Times New Roman"/>
                <w:sz w:val="28"/>
                <w:szCs w:val="28"/>
              </w:rPr>
              <w:t>备注</w:t>
            </w:r>
          </w:p>
        </w:tc>
      </w:tr>
      <w:tr w:rsidR="00FA018A" w:rsidRPr="00D968AC" w:rsidTr="008146A7">
        <w:trPr>
          <w:trHeight w:val="644"/>
        </w:trPr>
        <w:tc>
          <w:tcPr>
            <w:tcW w:w="2977" w:type="dxa"/>
            <w:vMerge w:val="restart"/>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浦江县人民医院</w:t>
            </w:r>
            <w:r w:rsidRPr="00D968AC">
              <w:rPr>
                <w:rFonts w:ascii="Times New Roman" w:eastAsia="仿宋" w:hAnsi="Times New Roman"/>
                <w:sz w:val="24"/>
                <w:szCs w:val="24"/>
              </w:rPr>
              <w:t>50</w:t>
            </w:r>
            <w:r w:rsidRPr="00D968AC">
              <w:rPr>
                <w:rFonts w:ascii="Times New Roman" w:eastAsia="仿宋" w:hAnsi="Times New Roman"/>
                <w:sz w:val="24"/>
                <w:szCs w:val="24"/>
              </w:rPr>
              <w:t>人</w:t>
            </w: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25</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研究生包括临床医学类各专业</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临床医学或妇产科学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临床医学或眼视光学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医学影像学或临床医学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3</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放射科</w:t>
            </w:r>
            <w:r w:rsidRPr="00D968AC">
              <w:rPr>
                <w:rFonts w:ascii="Times New Roman" w:eastAsia="仿宋" w:hAnsi="Times New Roman"/>
                <w:sz w:val="24"/>
                <w:szCs w:val="24"/>
              </w:rPr>
              <w:t>2</w:t>
            </w:r>
            <w:r w:rsidRPr="00D968AC">
              <w:rPr>
                <w:rFonts w:ascii="Times New Roman" w:eastAsia="仿宋" w:hAnsi="Times New Roman"/>
                <w:sz w:val="24"/>
                <w:szCs w:val="24"/>
              </w:rPr>
              <w:t>人</w:t>
            </w:r>
          </w:p>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超声科</w:t>
            </w:r>
            <w:r w:rsidRPr="00D968AC">
              <w:rPr>
                <w:rFonts w:ascii="Times New Roman" w:eastAsia="仿宋" w:hAnsi="Times New Roman"/>
                <w:sz w:val="24"/>
                <w:szCs w:val="24"/>
              </w:rPr>
              <w:t>1</w:t>
            </w:r>
            <w:r w:rsidRPr="00D968AC">
              <w:rPr>
                <w:rFonts w:ascii="Times New Roman" w:eastAsia="仿宋" w:hAnsi="Times New Roman"/>
                <w:sz w:val="24"/>
                <w:szCs w:val="24"/>
              </w:rPr>
              <w:t>人</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医学影像技术</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大专及以上学历</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医学检验技术</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预防医学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护理学（含助产专业）</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hint="eastAsia"/>
                <w:sz w:val="24"/>
                <w:szCs w:val="24"/>
              </w:rPr>
              <w:t>8</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护理学（含助产专业）</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大专及以上学历</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hint="eastAsia"/>
                <w:sz w:val="24"/>
                <w:szCs w:val="24"/>
              </w:rPr>
              <w:t>7</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val="restart"/>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浦江县中医院</w:t>
            </w:r>
          </w:p>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40</w:t>
            </w:r>
            <w:r w:rsidRPr="00D968AC">
              <w:rPr>
                <w:rFonts w:ascii="Times New Roman" w:eastAsia="仿宋" w:hAnsi="Times New Roman"/>
                <w:sz w:val="24"/>
                <w:szCs w:val="24"/>
              </w:rPr>
              <w:t>人</w:t>
            </w: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中医学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7</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研究生包括中医学类各专业</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6</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研究生包括临床医学类各专业</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针灸推拿学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w:t>
            </w:r>
          </w:p>
        </w:tc>
        <w:tc>
          <w:tcPr>
            <w:tcW w:w="2268"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pacing w:val="-16"/>
                <w:sz w:val="24"/>
                <w:szCs w:val="24"/>
              </w:rPr>
            </w:pPr>
            <w:r w:rsidRPr="00D968AC">
              <w:rPr>
                <w:rFonts w:ascii="Times New Roman" w:eastAsia="仿宋" w:hAnsi="Times New Roman"/>
                <w:spacing w:val="-16"/>
                <w:sz w:val="24"/>
                <w:szCs w:val="24"/>
              </w:rPr>
              <w:t>麻醉学或临床医学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医学影像学或临床医学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3</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放射科</w:t>
            </w:r>
            <w:r w:rsidRPr="00D968AC">
              <w:rPr>
                <w:rFonts w:ascii="Times New Roman" w:eastAsia="仿宋" w:hAnsi="Times New Roman"/>
                <w:sz w:val="24"/>
                <w:szCs w:val="24"/>
              </w:rPr>
              <w:t>1</w:t>
            </w:r>
            <w:r w:rsidRPr="00D968AC">
              <w:rPr>
                <w:rFonts w:ascii="Times New Roman" w:eastAsia="仿宋" w:hAnsi="Times New Roman"/>
                <w:sz w:val="24"/>
                <w:szCs w:val="24"/>
              </w:rPr>
              <w:t>人</w:t>
            </w:r>
          </w:p>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超声科</w:t>
            </w:r>
            <w:r w:rsidRPr="00D968AC">
              <w:rPr>
                <w:rFonts w:ascii="Times New Roman" w:eastAsia="仿宋" w:hAnsi="Times New Roman"/>
                <w:sz w:val="24"/>
                <w:szCs w:val="24"/>
              </w:rPr>
              <w:t>2</w:t>
            </w:r>
            <w:r w:rsidRPr="00D968AC">
              <w:rPr>
                <w:rFonts w:ascii="Times New Roman" w:eastAsia="仿宋" w:hAnsi="Times New Roman"/>
                <w:sz w:val="24"/>
                <w:szCs w:val="24"/>
              </w:rPr>
              <w:t>人</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病理科</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心电图室</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医学检验技术</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中药学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药学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生物</w:t>
            </w:r>
            <w:r w:rsidR="00FC0FCB">
              <w:rPr>
                <w:rFonts w:ascii="Times New Roman" w:eastAsia="仿宋" w:hAnsi="Times New Roman" w:hint="eastAsia"/>
                <w:sz w:val="24"/>
                <w:szCs w:val="24"/>
              </w:rPr>
              <w:t>医</w:t>
            </w:r>
            <w:bookmarkStart w:id="0" w:name="_GoBack"/>
            <w:bookmarkEnd w:id="0"/>
            <w:r w:rsidRPr="00D968AC">
              <w:rPr>
                <w:rFonts w:ascii="Times New Roman" w:eastAsia="仿宋" w:hAnsi="Times New Roman"/>
                <w:sz w:val="24"/>
                <w:szCs w:val="24"/>
              </w:rPr>
              <w:t>学工程</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护理学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hint="eastAsia"/>
                <w:sz w:val="24"/>
                <w:szCs w:val="24"/>
              </w:rPr>
              <w:t>8</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pacing w:val="-16"/>
                <w:sz w:val="24"/>
                <w:szCs w:val="24"/>
              </w:rPr>
            </w:pPr>
            <w:r w:rsidRPr="00D968AC">
              <w:rPr>
                <w:rFonts w:ascii="Times New Roman" w:eastAsia="仿宋" w:hAnsi="Times New Roman"/>
                <w:spacing w:val="-16"/>
                <w:sz w:val="24"/>
                <w:szCs w:val="24"/>
              </w:rPr>
              <w:t>不含助产专业</w:t>
            </w: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护理学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大专及以上学历</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hint="eastAsia"/>
                <w:sz w:val="24"/>
                <w:szCs w:val="24"/>
              </w:rPr>
              <w:t>7</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pacing w:val="-16"/>
                <w:sz w:val="24"/>
                <w:szCs w:val="24"/>
              </w:rPr>
            </w:pPr>
            <w:r w:rsidRPr="00D968AC">
              <w:rPr>
                <w:rFonts w:ascii="Times New Roman" w:eastAsia="仿宋" w:hAnsi="Times New Roman"/>
                <w:spacing w:val="-16"/>
                <w:sz w:val="24"/>
                <w:szCs w:val="24"/>
              </w:rPr>
              <w:t>不含助产专业</w:t>
            </w:r>
          </w:p>
        </w:tc>
      </w:tr>
      <w:tr w:rsidR="00FA018A" w:rsidRPr="00D968AC" w:rsidTr="008146A7">
        <w:tc>
          <w:tcPr>
            <w:tcW w:w="2977" w:type="dxa"/>
            <w:vMerge w:val="restart"/>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浦江县妇保院</w:t>
            </w:r>
          </w:p>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8</w:t>
            </w:r>
            <w:r w:rsidRPr="00D968AC">
              <w:rPr>
                <w:rFonts w:ascii="Times New Roman" w:eastAsia="仿宋" w:hAnsi="Times New Roman"/>
                <w:sz w:val="24"/>
                <w:szCs w:val="24"/>
              </w:rPr>
              <w:t>人</w:t>
            </w: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pacing w:val="-16"/>
                <w:sz w:val="24"/>
                <w:szCs w:val="24"/>
              </w:rPr>
            </w:pPr>
            <w:r w:rsidRPr="00D968AC">
              <w:rPr>
                <w:rFonts w:ascii="Times New Roman" w:eastAsia="仿宋" w:hAnsi="Times New Roman"/>
                <w:spacing w:val="-16"/>
                <w:sz w:val="24"/>
                <w:szCs w:val="24"/>
              </w:rPr>
              <w:t>妇产科或临床医学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儿科或临床医学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pacing w:val="-16"/>
                <w:sz w:val="24"/>
                <w:szCs w:val="24"/>
              </w:rPr>
              <w:t>麻醉学或临床医学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医学影像学或临床医学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眼视光学或临床医学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康复治疗学或康复医学技术</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大专及以上学历</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val="restart"/>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浦江</w:t>
            </w:r>
            <w:proofErr w:type="gramStart"/>
            <w:r w:rsidRPr="00D968AC">
              <w:rPr>
                <w:rFonts w:ascii="Times New Roman" w:eastAsia="仿宋" w:hAnsi="Times New Roman"/>
                <w:sz w:val="24"/>
                <w:szCs w:val="24"/>
              </w:rPr>
              <w:t>县疾控中心</w:t>
            </w:r>
            <w:proofErr w:type="gramEnd"/>
          </w:p>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2</w:t>
            </w:r>
            <w:r w:rsidRPr="00D968AC">
              <w:rPr>
                <w:rFonts w:ascii="Times New Roman" w:eastAsia="仿宋" w:hAnsi="Times New Roman"/>
                <w:sz w:val="24"/>
                <w:szCs w:val="24"/>
              </w:rPr>
              <w:t>人</w:t>
            </w: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卫生检验或医学检验</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c>
          <w:tcPr>
            <w:tcW w:w="2977" w:type="dxa"/>
            <w:vMerge/>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预防医学</w:t>
            </w: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本科</w:t>
            </w:r>
            <w:r w:rsidRPr="00D968AC">
              <w:rPr>
                <w:rFonts w:ascii="Times New Roman" w:eastAsia="仿宋" w:hAnsi="Times New Roman" w:hint="eastAsia"/>
                <w:sz w:val="24"/>
                <w:szCs w:val="24"/>
              </w:rPr>
              <w:t>（学士）</w:t>
            </w:r>
            <w:r w:rsidRPr="00D968AC">
              <w:rPr>
                <w:rFonts w:ascii="Times New Roman" w:eastAsia="仿宋" w:hAnsi="Times New Roman"/>
                <w:sz w:val="24"/>
                <w:szCs w:val="24"/>
              </w:rPr>
              <w:t>及以上学历学位</w:t>
            </w: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t>1</w:t>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r w:rsidR="00FA018A" w:rsidRPr="00D968AC" w:rsidTr="008146A7">
        <w:trPr>
          <w:trHeight w:val="276"/>
        </w:trPr>
        <w:tc>
          <w:tcPr>
            <w:tcW w:w="2977" w:type="dxa"/>
            <w:vAlign w:val="center"/>
          </w:tcPr>
          <w:p w:rsidR="00FA018A" w:rsidRPr="00D968AC" w:rsidRDefault="00FA018A" w:rsidP="008146A7">
            <w:pPr>
              <w:adjustRightInd w:val="0"/>
              <w:snapToGrid w:val="0"/>
              <w:spacing w:line="360" w:lineRule="exact"/>
              <w:jc w:val="left"/>
              <w:rPr>
                <w:rFonts w:ascii="Times New Roman" w:eastAsia="仿宋" w:hAnsi="Times New Roman"/>
                <w:b/>
                <w:sz w:val="24"/>
                <w:szCs w:val="24"/>
              </w:rPr>
            </w:pPr>
            <w:r w:rsidRPr="00D968AC">
              <w:rPr>
                <w:rFonts w:ascii="Times New Roman" w:eastAsia="仿宋" w:hAnsi="Times New Roman"/>
                <w:b/>
                <w:sz w:val="24"/>
                <w:szCs w:val="24"/>
              </w:rPr>
              <w:t>合计</w:t>
            </w:r>
          </w:p>
        </w:tc>
        <w:tc>
          <w:tcPr>
            <w:tcW w:w="3119"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3402"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c>
          <w:tcPr>
            <w:tcW w:w="1701"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r w:rsidRPr="00D968AC">
              <w:rPr>
                <w:rFonts w:ascii="Times New Roman" w:eastAsia="仿宋" w:hAnsi="Times New Roman"/>
                <w:sz w:val="24"/>
                <w:szCs w:val="24"/>
              </w:rPr>
              <w:fldChar w:fldCharType="begin"/>
            </w:r>
            <w:r w:rsidRPr="00D968AC">
              <w:rPr>
                <w:rFonts w:ascii="Times New Roman" w:eastAsia="仿宋" w:hAnsi="Times New Roman"/>
                <w:sz w:val="24"/>
                <w:szCs w:val="24"/>
              </w:rPr>
              <w:instrText xml:space="preserve"> =SUM(ABOVE) </w:instrText>
            </w:r>
            <w:r w:rsidRPr="00D968AC">
              <w:rPr>
                <w:rFonts w:ascii="Times New Roman" w:eastAsia="仿宋" w:hAnsi="Times New Roman"/>
                <w:sz w:val="24"/>
                <w:szCs w:val="24"/>
              </w:rPr>
              <w:fldChar w:fldCharType="separate"/>
            </w:r>
            <w:r w:rsidRPr="00D968AC">
              <w:rPr>
                <w:rFonts w:ascii="Times New Roman" w:eastAsia="仿宋" w:hAnsi="Times New Roman"/>
                <w:noProof/>
                <w:sz w:val="24"/>
                <w:szCs w:val="24"/>
              </w:rPr>
              <w:t>100</w:t>
            </w:r>
            <w:r w:rsidRPr="00D968AC">
              <w:rPr>
                <w:rFonts w:ascii="Times New Roman" w:eastAsia="仿宋" w:hAnsi="Times New Roman"/>
                <w:sz w:val="24"/>
                <w:szCs w:val="24"/>
              </w:rPr>
              <w:fldChar w:fldCharType="end"/>
            </w:r>
          </w:p>
        </w:tc>
        <w:tc>
          <w:tcPr>
            <w:tcW w:w="2268" w:type="dxa"/>
            <w:vAlign w:val="center"/>
          </w:tcPr>
          <w:p w:rsidR="00FA018A" w:rsidRPr="00D968AC" w:rsidRDefault="00FA018A" w:rsidP="008146A7">
            <w:pPr>
              <w:adjustRightInd w:val="0"/>
              <w:snapToGrid w:val="0"/>
              <w:spacing w:line="360" w:lineRule="exact"/>
              <w:jc w:val="left"/>
              <w:rPr>
                <w:rFonts w:ascii="Times New Roman" w:eastAsia="仿宋" w:hAnsi="Times New Roman"/>
                <w:sz w:val="24"/>
                <w:szCs w:val="24"/>
              </w:rPr>
            </w:pPr>
          </w:p>
        </w:tc>
      </w:tr>
    </w:tbl>
    <w:p w:rsidR="00170EB6" w:rsidRPr="005D6831" w:rsidRDefault="005D6831" w:rsidP="005D6831">
      <w:pPr>
        <w:adjustRightInd w:val="0"/>
        <w:snapToGrid w:val="0"/>
        <w:spacing w:line="360" w:lineRule="exact"/>
        <w:jc w:val="left"/>
        <w:rPr>
          <w:rFonts w:ascii="Times New Roman" w:eastAsia="仿宋" w:hAnsi="Times New Roman"/>
          <w:sz w:val="24"/>
          <w:szCs w:val="24"/>
        </w:rPr>
      </w:pPr>
      <w:r w:rsidRPr="005D6831">
        <w:rPr>
          <w:rFonts w:ascii="Times New Roman" w:eastAsia="仿宋" w:hAnsi="Times New Roman" w:hint="eastAsia"/>
          <w:sz w:val="24"/>
          <w:szCs w:val="24"/>
        </w:rPr>
        <w:t>注：报考要求为“本科（学士）及以上学历学位”的，“本科”需</w:t>
      </w:r>
      <w:proofErr w:type="gramStart"/>
      <w:r w:rsidRPr="005D6831">
        <w:rPr>
          <w:rFonts w:ascii="Times New Roman" w:eastAsia="仿宋" w:hAnsi="Times New Roman" w:hint="eastAsia"/>
          <w:sz w:val="24"/>
          <w:szCs w:val="24"/>
        </w:rPr>
        <w:t>经普通</w:t>
      </w:r>
      <w:proofErr w:type="gramEnd"/>
      <w:r w:rsidRPr="005D6831">
        <w:rPr>
          <w:rFonts w:ascii="Times New Roman" w:eastAsia="仿宋" w:hAnsi="Times New Roman" w:hint="eastAsia"/>
          <w:sz w:val="24"/>
          <w:szCs w:val="24"/>
        </w:rPr>
        <w:t>高等学校招生全国统一考试本科录取的应届毕业生；报考要求为“大专及以上学历”的，“大专”需</w:t>
      </w:r>
      <w:proofErr w:type="gramStart"/>
      <w:r w:rsidRPr="005D6831">
        <w:rPr>
          <w:rFonts w:ascii="Times New Roman" w:eastAsia="仿宋" w:hAnsi="Times New Roman" w:hint="eastAsia"/>
          <w:sz w:val="24"/>
          <w:szCs w:val="24"/>
        </w:rPr>
        <w:t>经普通</w:t>
      </w:r>
      <w:proofErr w:type="gramEnd"/>
      <w:r w:rsidRPr="005D6831">
        <w:rPr>
          <w:rFonts w:ascii="Times New Roman" w:eastAsia="仿宋" w:hAnsi="Times New Roman" w:hint="eastAsia"/>
          <w:sz w:val="24"/>
          <w:szCs w:val="24"/>
        </w:rPr>
        <w:t>高等学校招生全国统一考试“大专”录取的应届毕业生。报考要求“硕士研究生及以上学历学位”的，“硕士”需经全国硕士研究生统一入学考试录取的全日制普通高校硕士研究生及以上毕业生。</w:t>
      </w:r>
    </w:p>
    <w:sectPr w:rsidR="00170EB6" w:rsidRPr="005D6831" w:rsidSect="00022FBF">
      <w:pgSz w:w="16838" w:h="11906" w:orient="landscape"/>
      <w:pgMar w:top="1588" w:right="1985" w:bottom="1474" w:left="1985"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8B"/>
    <w:rsid w:val="00170EB6"/>
    <w:rsid w:val="003E5B8B"/>
    <w:rsid w:val="005D6831"/>
    <w:rsid w:val="007B5ADA"/>
    <w:rsid w:val="00803BF8"/>
    <w:rsid w:val="00FA018A"/>
    <w:rsid w:val="00FC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pjccs</dc:creator>
  <cp:keywords/>
  <dc:description/>
  <cp:lastModifiedBy>wsjkj-203</cp:lastModifiedBy>
  <cp:revision>5</cp:revision>
  <dcterms:created xsi:type="dcterms:W3CDTF">2020-10-21T06:13:00Z</dcterms:created>
  <dcterms:modified xsi:type="dcterms:W3CDTF">2020-11-16T08:36:00Z</dcterms:modified>
</cp:coreProperties>
</file>