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80" w:lineRule="auto"/>
        <w:jc w:val="center"/>
        <w:rPr>
          <w:rFonts w:ascii="方正小标宋简体" w:hAnsi="方正小标宋简体" w:eastAsia="方正小标宋简体" w:cs="方正小标宋简体"/>
          <w:b w:val="0"/>
          <w:bCs w:val="0"/>
        </w:rPr>
      </w:pPr>
      <w:bookmarkStart w:id="0" w:name="_Toc24724716"/>
      <w:r>
        <w:rPr>
          <w:rFonts w:hint="eastAsia" w:ascii="方正小标宋简体" w:hAnsi="方正小标宋简体" w:eastAsia="方正小标宋简体" w:cs="方正小标宋简体"/>
          <w:b w:val="0"/>
          <w:bCs w:val="0"/>
          <w:lang w:eastAsia="zh-CN"/>
        </w:rPr>
        <w:t>浦江</w:t>
      </w:r>
      <w:r>
        <w:rPr>
          <w:rFonts w:hint="eastAsia" w:ascii="方正小标宋简体" w:hAnsi="方正小标宋简体" w:eastAsia="方正小标宋简体" w:cs="方正小标宋简体"/>
          <w:b w:val="0"/>
          <w:bCs w:val="0"/>
        </w:rPr>
        <w:t>县生态环境领域基层政务公开标准目录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6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162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7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7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520" w:type="dxa"/>
            <w:vMerge w:val="continue"/>
            <w:vAlign w:val="center"/>
          </w:tcPr>
          <w:p>
            <w:pPr>
              <w:widowControl/>
              <w:jc w:val="left"/>
              <w:rPr>
                <w:rFonts w:ascii="黑体" w:hAnsi="宋体" w:eastAsia="黑体" w:cs="宋体"/>
                <w:kern w:val="0"/>
                <w:sz w:val="22"/>
              </w:rPr>
            </w:pPr>
          </w:p>
        </w:tc>
        <w:tc>
          <w:tcPr>
            <w:tcW w:w="27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72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w:t>
            </w:r>
            <w:r>
              <w:rPr>
                <w:rFonts w:ascii="仿宋_GB2312" w:hAnsi="宋体" w:eastAsia="仿宋_GB2312"/>
                <w:sz w:val="18"/>
                <w:szCs w:val="18"/>
              </w:rPr>
              <w:br w:type="textWrapping"/>
            </w:r>
            <w:r>
              <w:rPr>
                <w:rFonts w:ascii="仿宋_GB2312" w:hAnsi="宋体" w:eastAsia="仿宋_GB2312"/>
                <w:sz w:val="18"/>
                <w:szCs w:val="18"/>
              </w:rPr>
              <w:t>许可</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w:t>
            </w:r>
            <w:r>
              <w:rPr>
                <w:rFonts w:ascii="仿宋_GB2312" w:hAnsi="宋体" w:eastAsia="仿宋_GB2312"/>
                <w:sz w:val="18"/>
                <w:szCs w:val="18"/>
              </w:rPr>
              <w:br w:type="textWrapping"/>
            </w:r>
            <w:r>
              <w:rPr>
                <w:rFonts w:ascii="仿宋_GB2312" w:hAnsi="宋体" w:eastAsia="仿宋_GB2312"/>
                <w:sz w:val="18"/>
                <w:szCs w:val="18"/>
              </w:rPr>
              <w:t>许可</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建设项目环境影响评价文件审批</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受理环节：受理情况公示、</w:t>
            </w:r>
            <w:r>
              <w:rPr>
                <w:rFonts w:ascii="仿宋_GB2312" w:hAnsi="宋体" w:eastAsia="仿宋_GB2312"/>
                <w:sz w:val="18"/>
                <w:szCs w:val="18"/>
              </w:rPr>
              <w:t>报告书（</w:t>
            </w:r>
            <w:r>
              <w:rPr>
                <w:rFonts w:hint="eastAsia" w:ascii="仿宋_GB2312" w:hAnsi="宋体" w:eastAsia="仿宋_GB2312"/>
                <w:sz w:val="18"/>
                <w:szCs w:val="18"/>
              </w:rPr>
              <w:t>表</w:t>
            </w:r>
            <w:r>
              <w:rPr>
                <w:rFonts w:ascii="仿宋_GB2312" w:hAnsi="宋体" w:eastAsia="仿宋_GB2312"/>
                <w:sz w:val="18"/>
                <w:szCs w:val="18"/>
              </w:rPr>
              <w:t>）</w:t>
            </w:r>
            <w:r>
              <w:rPr>
                <w:rFonts w:hint="eastAsia" w:ascii="仿宋_GB2312" w:hAnsi="宋体" w:eastAsia="仿宋_GB2312"/>
                <w:sz w:val="18"/>
                <w:szCs w:val="18"/>
              </w:rPr>
              <w:t>全本；拟决定环节：拟审查</w:t>
            </w:r>
            <w:r>
              <w:rPr>
                <w:rFonts w:ascii="仿宋_GB2312" w:hAnsi="宋体" w:eastAsia="仿宋_GB2312"/>
                <w:sz w:val="18"/>
                <w:szCs w:val="18"/>
              </w:rPr>
              <w:t>环评文件基本情况公示</w:t>
            </w:r>
            <w:r>
              <w:rPr>
                <w:rFonts w:hint="eastAsia" w:ascii="仿宋_GB2312" w:hAnsi="宋体" w:eastAsia="仿宋_GB2312"/>
                <w:sz w:val="18"/>
                <w:szCs w:val="18"/>
              </w:rPr>
              <w:t>；决定环节：环评批复</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《环境影响评价法》、《海洋环境保护法》、《放射性污染防治法》、《政府信息公开条例》</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2</w:t>
            </w:r>
          </w:p>
        </w:tc>
        <w:tc>
          <w:tcPr>
            <w:tcW w:w="720" w:type="dxa"/>
            <w:vMerge w:val="continue"/>
            <w:vAlign w:val="center"/>
          </w:tcPr>
          <w:p>
            <w:pPr>
              <w:adjustRightInd w:val="0"/>
              <w:snapToGrid w:val="0"/>
              <w:jc w:val="center"/>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危险废</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物收集经营</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许可证</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受理环节：受理通知书；拟决定环节：向</w:t>
            </w:r>
            <w:r>
              <w:rPr>
                <w:rFonts w:ascii="仿宋_GB2312" w:hAnsi="宋体" w:eastAsia="仿宋_GB2312"/>
                <w:sz w:val="18"/>
                <w:szCs w:val="18"/>
              </w:rPr>
              <w:t>有关</w:t>
            </w:r>
            <w:r>
              <w:rPr>
                <w:rFonts w:hint="eastAsia" w:ascii="仿宋_GB2312" w:hAnsi="宋体" w:eastAsia="仿宋_GB2312"/>
                <w:sz w:val="18"/>
                <w:szCs w:val="18"/>
              </w:rPr>
              <w:t>部门</w:t>
            </w:r>
            <w:r>
              <w:rPr>
                <w:rFonts w:ascii="仿宋_GB2312" w:hAnsi="宋体" w:eastAsia="仿宋_GB2312"/>
                <w:sz w:val="18"/>
                <w:szCs w:val="18"/>
              </w:rPr>
              <w:t>和专家</w:t>
            </w:r>
            <w:r>
              <w:rPr>
                <w:rFonts w:hint="eastAsia" w:ascii="仿宋_GB2312" w:hAnsi="宋体" w:eastAsia="仿宋_GB2312"/>
                <w:sz w:val="18"/>
                <w:szCs w:val="18"/>
              </w:rPr>
              <w:t>征求意见、决定</w:t>
            </w:r>
            <w:r>
              <w:rPr>
                <w:rFonts w:ascii="仿宋_GB2312" w:hAnsi="宋体" w:eastAsia="仿宋_GB2312"/>
                <w:sz w:val="18"/>
                <w:szCs w:val="18"/>
              </w:rPr>
              <w:t>前公示</w:t>
            </w:r>
            <w:r>
              <w:rPr>
                <w:rFonts w:hint="eastAsia" w:ascii="仿宋_GB2312" w:hAnsi="宋体" w:eastAsia="仿宋_GB2312"/>
                <w:sz w:val="18"/>
                <w:szCs w:val="18"/>
              </w:rPr>
              <w:t>等；决定环节：危险废物收集经营许可证信息</w:t>
            </w:r>
            <w:r>
              <w:rPr>
                <w:rFonts w:ascii="仿宋_GB2312" w:hAnsi="宋体" w:eastAsia="仿宋_GB2312"/>
                <w:sz w:val="18"/>
                <w:szCs w:val="18"/>
              </w:rPr>
              <w:t>公示</w:t>
            </w:r>
            <w:r>
              <w:rPr>
                <w:rFonts w:hint="eastAsia" w:ascii="仿宋_GB2312" w:hAnsi="宋体" w:eastAsia="仿宋_GB2312"/>
                <w:sz w:val="18"/>
                <w:szCs w:val="18"/>
              </w:rPr>
              <w:t>；送达环节：送达单</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bookmarkStart w:id="1" w:name="_GoBack"/>
            <w:bookmarkEnd w:id="1"/>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vMerge w:val="continue"/>
            <w:vAlign w:val="center"/>
          </w:tcPr>
          <w:p>
            <w:pPr>
              <w:adjustRightInd w:val="0"/>
              <w:snapToGrid w:val="0"/>
              <w:jc w:val="center"/>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危险废物跨省转移</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受理环节：受理通知书；拟决定环节：向</w:t>
            </w:r>
            <w:r>
              <w:rPr>
                <w:rFonts w:ascii="仿宋_GB2312" w:hAnsi="宋体" w:eastAsia="仿宋_GB2312"/>
                <w:sz w:val="18"/>
                <w:szCs w:val="18"/>
              </w:rPr>
              <w:t>有关</w:t>
            </w:r>
            <w:r>
              <w:rPr>
                <w:rFonts w:hint="eastAsia" w:ascii="仿宋_GB2312" w:hAnsi="宋体" w:eastAsia="仿宋_GB2312"/>
                <w:sz w:val="18"/>
                <w:szCs w:val="18"/>
              </w:rPr>
              <w:t>部门</w:t>
            </w:r>
            <w:r>
              <w:rPr>
                <w:rFonts w:ascii="仿宋_GB2312" w:hAnsi="宋体" w:eastAsia="仿宋_GB2312"/>
                <w:sz w:val="18"/>
                <w:szCs w:val="18"/>
              </w:rPr>
              <w:t>和专家</w:t>
            </w:r>
            <w:r>
              <w:rPr>
                <w:rFonts w:hint="eastAsia" w:ascii="仿宋_GB2312" w:hAnsi="宋体" w:eastAsia="仿宋_GB2312"/>
                <w:sz w:val="18"/>
                <w:szCs w:val="18"/>
              </w:rPr>
              <w:t>征求意见、决定</w:t>
            </w:r>
            <w:r>
              <w:rPr>
                <w:rFonts w:ascii="仿宋_GB2312" w:hAnsi="宋体" w:eastAsia="仿宋_GB2312"/>
                <w:sz w:val="18"/>
                <w:szCs w:val="18"/>
              </w:rPr>
              <w:t>前公示</w:t>
            </w:r>
            <w:r>
              <w:rPr>
                <w:rFonts w:hint="eastAsia" w:ascii="仿宋_GB2312" w:hAnsi="宋体" w:eastAsia="仿宋_GB2312"/>
                <w:sz w:val="18"/>
                <w:szCs w:val="18"/>
              </w:rPr>
              <w:t>等；决定环节：危险废物跨省转移信息</w:t>
            </w:r>
            <w:r>
              <w:rPr>
                <w:rFonts w:ascii="仿宋_GB2312" w:hAnsi="宋体" w:eastAsia="仿宋_GB2312"/>
                <w:sz w:val="18"/>
                <w:szCs w:val="18"/>
              </w:rPr>
              <w:t>公示</w:t>
            </w:r>
            <w:r>
              <w:rPr>
                <w:rFonts w:hint="eastAsia" w:ascii="仿宋_GB2312" w:hAnsi="宋体" w:eastAsia="仿宋_GB2312"/>
                <w:sz w:val="18"/>
                <w:szCs w:val="18"/>
              </w:rPr>
              <w:t>；送达环节：送达单</w:t>
            </w:r>
          </w:p>
        </w:tc>
        <w:tc>
          <w:tcPr>
            <w:tcW w:w="2700" w:type="dxa"/>
            <w:vAlign w:val="center"/>
          </w:tcPr>
          <w:p>
            <w:pPr>
              <w:adjustRightInd w:val="0"/>
              <w:snapToGrid w:val="0"/>
              <w:rPr>
                <w:rFonts w:ascii="仿宋_GB2312" w:hAnsi="宋体" w:eastAsia="仿宋_GB2312"/>
                <w:sz w:val="18"/>
                <w:szCs w:val="18"/>
              </w:rPr>
            </w:pPr>
            <w:r>
              <w:rPr>
                <w:rFonts w:ascii="仿宋_GB2312" w:hAnsi="宋体" w:eastAsia="仿宋_GB2312"/>
                <w:sz w:val="18"/>
                <w:szCs w:val="18"/>
              </w:rPr>
              <w:t>《固体废物污染环境防治法》、《政府信息公开条例》、《危险废物经营许可证管理办法》、《金华市生态环境局关于调整市县两级行政审批事项办理责任分工的通知》</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行政处罚行政强制和行政</w:t>
            </w:r>
            <w:r>
              <w:rPr>
                <w:rFonts w:ascii="仿宋_GB2312" w:hAnsi="宋体" w:eastAsia="仿宋_GB2312"/>
                <w:sz w:val="18"/>
                <w:szCs w:val="18"/>
              </w:rPr>
              <w:t>命令</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行政处罚流程</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行政处罚事先告知书；行政</w:t>
            </w:r>
            <w:r>
              <w:rPr>
                <w:rFonts w:ascii="仿宋_GB2312" w:hAnsi="宋体" w:eastAsia="仿宋_GB2312"/>
                <w:sz w:val="18"/>
                <w:szCs w:val="18"/>
              </w:rPr>
              <w:t>处罚</w:t>
            </w:r>
            <w:r>
              <w:rPr>
                <w:rFonts w:hint="eastAsia" w:ascii="仿宋_GB2312" w:hAnsi="宋体" w:eastAsia="仿宋_GB2312"/>
                <w:sz w:val="18"/>
                <w:szCs w:val="18"/>
              </w:rPr>
              <w:t>听证通知书；处罚执行情况：同意分期（延期）缴纳罚款通知书、督促</w:t>
            </w:r>
            <w:r>
              <w:rPr>
                <w:rFonts w:ascii="仿宋_GB2312" w:hAnsi="宋体" w:eastAsia="仿宋_GB2312"/>
                <w:sz w:val="18"/>
                <w:szCs w:val="18"/>
              </w:rPr>
              <w:t>履行义务</w:t>
            </w:r>
            <w:r>
              <w:rPr>
                <w:rFonts w:hint="eastAsia" w:ascii="仿宋_GB2312" w:hAnsi="宋体" w:eastAsia="仿宋_GB2312"/>
                <w:sz w:val="18"/>
                <w:szCs w:val="18"/>
              </w:rPr>
              <w:t>催告书、强制执行申请书等</w:t>
            </w:r>
          </w:p>
        </w:tc>
        <w:tc>
          <w:tcPr>
            <w:tcW w:w="2700" w:type="dxa"/>
            <w:vMerge w:val="restart"/>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sz w:val="18"/>
                <w:szCs w:val="18"/>
              </w:rPr>
              <w:t>核安全法</w:t>
            </w:r>
            <w:r>
              <w:rPr>
                <w:rFonts w:hint="eastAsia" w:ascii="仿宋_GB2312" w:hAnsi="宋体" w:eastAsia="仿宋_GB2312"/>
                <w:sz w:val="18"/>
                <w:szCs w:val="18"/>
              </w:rPr>
              <w:t>》、《环境影响评价法》、《政府信息公开条例》、《环境行政处罚办法》</w:t>
            </w:r>
          </w:p>
        </w:tc>
        <w:tc>
          <w:tcPr>
            <w:tcW w:w="1620" w:type="dxa"/>
            <w:vMerge w:val="restart"/>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自收到申请之日起</w:t>
            </w:r>
            <w:r>
              <w:rPr>
                <w:rFonts w:ascii="仿宋_GB2312" w:hAnsi="宋体" w:eastAsia="仿宋_GB2312"/>
                <w:sz w:val="18"/>
                <w:szCs w:val="18"/>
              </w:rPr>
              <w:t>20</w:t>
            </w:r>
            <w:r>
              <w:rPr>
                <w:rFonts w:hint="eastAsia" w:ascii="仿宋_GB2312" w:hAnsi="宋体" w:eastAsia="仿宋_GB2312"/>
                <w:sz w:val="18"/>
                <w:szCs w:val="18"/>
              </w:rPr>
              <w:t>个工作日内</w:t>
            </w:r>
          </w:p>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Merge w:val="restart"/>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■精准推送</w:t>
            </w:r>
          </w:p>
          <w:p>
            <w:pPr>
              <w:adjustRightInd w:val="0"/>
              <w:snapToGrid w:val="0"/>
              <w:rPr>
                <w:rFonts w:ascii="仿宋_GB2312" w:hAnsi="宋体" w:eastAsia="仿宋_GB2312"/>
                <w:sz w:val="18"/>
                <w:szCs w:val="18"/>
              </w:rPr>
            </w:pPr>
          </w:p>
        </w:tc>
        <w:tc>
          <w:tcPr>
            <w:tcW w:w="720" w:type="dxa"/>
            <w:vAlign w:val="center"/>
          </w:tcPr>
          <w:p>
            <w:pPr>
              <w:adjustRightInd w:val="0"/>
              <w:snapToGrid w:val="0"/>
              <w:jc w:val="center"/>
              <w:rPr>
                <w:rFonts w:ascii="仿宋_GB2312" w:hAnsi="宋体" w:eastAsia="仿宋_GB2312"/>
                <w:sz w:val="18"/>
                <w:szCs w:val="18"/>
              </w:rPr>
            </w:pPr>
          </w:p>
        </w:tc>
        <w:tc>
          <w:tcPr>
            <w:tcW w:w="709"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551" w:type="dxa"/>
            <w:vAlign w:val="center"/>
          </w:tcPr>
          <w:p>
            <w:pPr>
              <w:adjustRightInd w:val="0"/>
              <w:snapToGrid w:val="0"/>
              <w:jc w:val="center"/>
              <w:rPr>
                <w:rFonts w:ascii="仿宋_GB2312" w:hAnsi="宋体" w:eastAsia="仿宋_GB2312"/>
                <w:sz w:val="18"/>
                <w:szCs w:val="18"/>
              </w:rPr>
            </w:pP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行政处罚决定</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公开行政处罚的主体、文号、设定依据、对象、违法事实、行政处罚内容等</w:t>
            </w:r>
          </w:p>
        </w:tc>
        <w:tc>
          <w:tcPr>
            <w:tcW w:w="2700" w:type="dxa"/>
            <w:vMerge w:val="continue"/>
            <w:vAlign w:val="center"/>
          </w:tcPr>
          <w:p>
            <w:pPr>
              <w:adjustRightInd w:val="0"/>
              <w:snapToGrid w:val="0"/>
              <w:rPr>
                <w:rFonts w:ascii="仿宋_GB2312" w:hAnsi="宋体" w:eastAsia="仿宋_GB2312"/>
                <w:sz w:val="18"/>
                <w:szCs w:val="18"/>
              </w:rPr>
            </w:pPr>
          </w:p>
        </w:tc>
        <w:tc>
          <w:tcPr>
            <w:tcW w:w="1620" w:type="dxa"/>
            <w:vMerge w:val="continue"/>
            <w:vAlign w:val="center"/>
          </w:tcPr>
          <w:p>
            <w:pPr>
              <w:adjustRightInd w:val="0"/>
              <w:snapToGrid w:val="0"/>
              <w:rPr>
                <w:rFonts w:ascii="仿宋_GB2312" w:hAnsi="宋体" w:eastAsia="仿宋_GB2312"/>
                <w:sz w:val="18"/>
                <w:szCs w:val="18"/>
              </w:rPr>
            </w:pPr>
          </w:p>
        </w:tc>
        <w:tc>
          <w:tcPr>
            <w:tcW w:w="720" w:type="dxa"/>
            <w:vMerge w:val="continue"/>
            <w:vAlign w:val="center"/>
          </w:tcPr>
          <w:p>
            <w:pPr>
              <w:adjustRightInd w:val="0"/>
              <w:snapToGrid w:val="0"/>
              <w:jc w:val="center"/>
              <w:rPr>
                <w:rFonts w:ascii="仿宋_GB2312" w:hAnsi="宋体" w:eastAsia="仿宋_GB2312"/>
                <w:sz w:val="18"/>
                <w:szCs w:val="18"/>
              </w:rPr>
            </w:pP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行政处罚行政强制和行政</w:t>
            </w:r>
            <w:r>
              <w:rPr>
                <w:rFonts w:ascii="仿宋_GB2312" w:hAnsi="宋体" w:eastAsia="仿宋_GB2312"/>
                <w:sz w:val="18"/>
                <w:szCs w:val="18"/>
              </w:rPr>
              <w:t>命令</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行政强制流程</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查封</w:t>
            </w:r>
            <w:r>
              <w:rPr>
                <w:rFonts w:ascii="仿宋_GB2312" w:hAnsi="宋体" w:eastAsia="仿宋_GB2312"/>
                <w:sz w:val="18"/>
                <w:szCs w:val="18"/>
              </w:rPr>
              <w:t>、扣押清单</w:t>
            </w:r>
            <w:r>
              <w:rPr>
                <w:rFonts w:hint="eastAsia" w:ascii="仿宋_GB2312" w:hAnsi="宋体" w:eastAsia="仿宋_GB2312"/>
                <w:sz w:val="18"/>
                <w:szCs w:val="18"/>
              </w:rPr>
              <w:t>；查封</w:t>
            </w:r>
            <w:r>
              <w:rPr>
                <w:rFonts w:ascii="仿宋_GB2312" w:hAnsi="宋体" w:eastAsia="仿宋_GB2312"/>
                <w:sz w:val="18"/>
                <w:szCs w:val="18"/>
              </w:rPr>
              <w:t>（</w:t>
            </w:r>
            <w:r>
              <w:rPr>
                <w:rFonts w:hint="eastAsia" w:ascii="仿宋_GB2312" w:hAnsi="宋体" w:eastAsia="仿宋_GB2312"/>
                <w:sz w:val="18"/>
                <w:szCs w:val="18"/>
              </w:rPr>
              <w:t>扣押</w:t>
            </w:r>
            <w:r>
              <w:rPr>
                <w:rFonts w:ascii="仿宋_GB2312" w:hAnsi="宋体" w:eastAsia="仿宋_GB2312"/>
                <w:sz w:val="18"/>
                <w:szCs w:val="18"/>
              </w:rPr>
              <w:t>）</w:t>
            </w:r>
            <w:r>
              <w:rPr>
                <w:rFonts w:hint="eastAsia" w:ascii="仿宋_GB2312" w:hAnsi="宋体" w:eastAsia="仿宋_GB2312"/>
                <w:sz w:val="18"/>
                <w:szCs w:val="18"/>
              </w:rPr>
              <w:t>延期</w:t>
            </w:r>
            <w:r>
              <w:rPr>
                <w:rFonts w:ascii="仿宋_GB2312" w:hAnsi="宋体" w:eastAsia="仿宋_GB2312"/>
                <w:sz w:val="18"/>
                <w:szCs w:val="18"/>
              </w:rPr>
              <w:t>通知书</w:t>
            </w:r>
            <w:r>
              <w:rPr>
                <w:rFonts w:hint="eastAsia" w:ascii="仿宋_GB2312" w:hAnsi="宋体" w:eastAsia="仿宋_GB2312"/>
                <w:sz w:val="18"/>
                <w:szCs w:val="18"/>
              </w:rPr>
              <w:t>；解除</w:t>
            </w:r>
            <w:r>
              <w:rPr>
                <w:rFonts w:ascii="仿宋_GB2312" w:hAnsi="宋体" w:eastAsia="仿宋_GB2312"/>
                <w:sz w:val="18"/>
                <w:szCs w:val="18"/>
              </w:rPr>
              <w:t>查封（</w:t>
            </w:r>
            <w:r>
              <w:rPr>
                <w:rFonts w:hint="eastAsia" w:ascii="仿宋_GB2312" w:hAnsi="宋体" w:eastAsia="仿宋_GB2312"/>
                <w:sz w:val="18"/>
                <w:szCs w:val="18"/>
              </w:rPr>
              <w:t>扣押</w:t>
            </w:r>
            <w:r>
              <w:rPr>
                <w:rFonts w:ascii="仿宋_GB2312" w:hAnsi="宋体" w:eastAsia="仿宋_GB2312"/>
                <w:sz w:val="18"/>
                <w:szCs w:val="18"/>
              </w:rPr>
              <w:t>）</w:t>
            </w:r>
            <w:r>
              <w:rPr>
                <w:rFonts w:hint="eastAsia" w:ascii="仿宋_GB2312" w:hAnsi="宋体" w:eastAsia="仿宋_GB2312"/>
                <w:sz w:val="18"/>
                <w:szCs w:val="18"/>
              </w:rPr>
              <w:t>决定书</w:t>
            </w:r>
          </w:p>
        </w:tc>
        <w:tc>
          <w:tcPr>
            <w:tcW w:w="2700" w:type="dxa"/>
            <w:vMerge w:val="restart"/>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sz w:val="18"/>
                <w:szCs w:val="18"/>
              </w:rPr>
              <w:t>核安全法</w:t>
            </w:r>
            <w:r>
              <w:rPr>
                <w:rFonts w:hint="eastAsia" w:ascii="仿宋_GB2312" w:hAnsi="宋体" w:eastAsia="仿宋_GB2312"/>
                <w:sz w:val="18"/>
                <w:szCs w:val="18"/>
              </w:rPr>
              <w:t>》、《环境影响评价法》、《政府信息公开条例》、《环境行政处罚办法》</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自收到申请之日起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■精准推送</w:t>
            </w:r>
          </w:p>
        </w:tc>
        <w:tc>
          <w:tcPr>
            <w:tcW w:w="720" w:type="dxa"/>
            <w:vAlign w:val="center"/>
          </w:tcPr>
          <w:p>
            <w:pPr>
              <w:adjustRightInd w:val="0"/>
              <w:snapToGrid w:val="0"/>
              <w:jc w:val="center"/>
              <w:rPr>
                <w:rFonts w:ascii="仿宋_GB2312" w:hAnsi="宋体" w:eastAsia="仿宋_GB2312"/>
                <w:sz w:val="18"/>
                <w:szCs w:val="18"/>
              </w:rPr>
            </w:pPr>
          </w:p>
        </w:tc>
        <w:tc>
          <w:tcPr>
            <w:tcW w:w="709"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551" w:type="dxa"/>
            <w:vAlign w:val="center"/>
          </w:tcPr>
          <w:p>
            <w:pPr>
              <w:adjustRightInd w:val="0"/>
              <w:snapToGrid w:val="0"/>
              <w:jc w:val="center"/>
              <w:rPr>
                <w:rFonts w:ascii="仿宋_GB2312" w:hAnsi="宋体" w:eastAsia="仿宋_GB2312"/>
                <w:sz w:val="18"/>
                <w:szCs w:val="18"/>
              </w:rPr>
            </w:pP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7</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行政强制决定</w:t>
            </w:r>
          </w:p>
        </w:tc>
        <w:tc>
          <w:tcPr>
            <w:tcW w:w="2520" w:type="dxa"/>
            <w:vAlign w:val="center"/>
          </w:tcPr>
          <w:p>
            <w:pPr>
              <w:adjustRightInd w:val="0"/>
              <w:snapToGrid w:val="0"/>
              <w:rPr>
                <w:rFonts w:ascii="仿宋_GB2312" w:hAnsi="宋体" w:eastAsia="仿宋_GB2312"/>
                <w:sz w:val="18"/>
                <w:szCs w:val="18"/>
              </w:rPr>
            </w:pPr>
            <w:r>
              <w:rPr>
                <w:rFonts w:ascii="仿宋_GB2312" w:hAnsi="宋体" w:eastAsia="仿宋_GB2312"/>
                <w:sz w:val="18"/>
                <w:szCs w:val="18"/>
              </w:rPr>
              <w:t>公开</w:t>
            </w:r>
            <w:r>
              <w:rPr>
                <w:rFonts w:hint="eastAsia" w:ascii="仿宋_GB2312" w:hAnsi="宋体" w:eastAsia="仿宋_GB2312"/>
                <w:sz w:val="18"/>
                <w:szCs w:val="18"/>
              </w:rPr>
              <w:t>行政强制的主体、文号、类别、设定依据、对象、违法事实、行政强制内容等</w:t>
            </w:r>
          </w:p>
        </w:tc>
        <w:tc>
          <w:tcPr>
            <w:tcW w:w="2700" w:type="dxa"/>
            <w:vMerge w:val="continue"/>
            <w:vAlign w:val="center"/>
          </w:tcPr>
          <w:p>
            <w:pPr>
              <w:adjustRightInd w:val="0"/>
              <w:snapToGrid w:val="0"/>
              <w:rPr>
                <w:rFonts w:ascii="仿宋_GB2312" w:hAnsi="宋体" w:eastAsia="仿宋_GB2312"/>
                <w:sz w:val="18"/>
                <w:szCs w:val="18"/>
              </w:rPr>
            </w:pP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8</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w:t>
            </w:r>
            <w:r>
              <w:rPr>
                <w:rFonts w:ascii="仿宋_GB2312" w:hAnsi="宋体" w:eastAsia="仿宋_GB2312"/>
                <w:sz w:val="18"/>
                <w:szCs w:val="18"/>
              </w:rPr>
              <w:br w:type="textWrapping"/>
            </w:r>
            <w:r>
              <w:rPr>
                <w:rFonts w:hint="eastAsia" w:ascii="仿宋_GB2312" w:hAnsi="宋体" w:eastAsia="仿宋_GB2312"/>
                <w:sz w:val="18"/>
                <w:szCs w:val="18"/>
              </w:rPr>
              <w:t>管理</w:t>
            </w:r>
          </w:p>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行政奖励</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奖励办法、奖励公告、奖励决定</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sz w:val="18"/>
                <w:szCs w:val="18"/>
              </w:rPr>
              <w:t>核安全法</w:t>
            </w:r>
            <w:r>
              <w:rPr>
                <w:rFonts w:hint="eastAsia" w:ascii="仿宋_GB2312" w:hAnsi="宋体" w:eastAsia="仿宋_GB2312"/>
                <w:sz w:val="18"/>
                <w:szCs w:val="18"/>
              </w:rPr>
              <w:t>》、《环境影响评价法》、《政府信息公开条例》</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9</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行政检查</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运行环节：制定方案、实施检查、事后监管；责任事项</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10</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其他行政职责</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生态环境保护督察</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按要求公开生态环境</w:t>
            </w:r>
            <w:r>
              <w:rPr>
                <w:rFonts w:ascii="仿宋_GB2312" w:hAnsi="宋体" w:eastAsia="仿宋_GB2312"/>
                <w:sz w:val="18"/>
                <w:szCs w:val="18"/>
              </w:rPr>
              <w:t>保护</w:t>
            </w:r>
            <w:r>
              <w:rPr>
                <w:rFonts w:hint="eastAsia" w:ascii="仿宋_GB2312" w:hAnsi="宋体" w:eastAsia="仿宋_GB2312"/>
                <w:sz w:val="18"/>
                <w:szCs w:val="18"/>
              </w:rPr>
              <w:t>督察进驻时限，受理投诉、举报途径，督察反馈问题，受理投诉、举报查处情况，反馈问题整改情况。</w:t>
            </w:r>
          </w:p>
        </w:tc>
        <w:tc>
          <w:tcPr>
            <w:tcW w:w="2700" w:type="dxa"/>
            <w:vMerge w:val="restart"/>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《政府信息公开条例》、《关于全面推进政务公开工作的意见》、《开展基层政务公开标准化规范化试点工作方案》</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Merge w:val="restart"/>
            <w:vAlign w:val="center"/>
          </w:tcPr>
          <w:p>
            <w:pPr>
              <w:adjustRightInd w:val="0"/>
              <w:snapToGrid w:val="0"/>
              <w:rPr>
                <w:rFonts w:ascii="仿宋_GB2312" w:hAnsi="宋体" w:eastAsia="仿宋_GB2312"/>
                <w:sz w:val="18"/>
                <w:szCs w:val="18"/>
              </w:rPr>
            </w:pPr>
          </w:p>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11</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生态建设</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生态乡镇、生态村、生态示范户创建情况；生态文明建设示范区和“绿水青山就是金山银山”实践创新基地创建情况；</w:t>
            </w:r>
          </w:p>
        </w:tc>
        <w:tc>
          <w:tcPr>
            <w:tcW w:w="2700" w:type="dxa"/>
            <w:vMerge w:val="continue"/>
            <w:vAlign w:val="center"/>
          </w:tcPr>
          <w:p>
            <w:pPr>
              <w:adjustRightInd w:val="0"/>
              <w:snapToGrid w:val="0"/>
              <w:rPr>
                <w:rFonts w:ascii="仿宋_GB2312" w:hAnsi="宋体" w:eastAsia="仿宋_GB2312"/>
                <w:sz w:val="18"/>
                <w:szCs w:val="18"/>
              </w:rPr>
            </w:pP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Merge w:val="continue"/>
            <w:vAlign w:val="center"/>
          </w:tcPr>
          <w:p>
            <w:pPr>
              <w:adjustRightInd w:val="0"/>
              <w:snapToGrid w:val="0"/>
              <w:rPr>
                <w:rFonts w:ascii="仿宋_GB2312" w:hAnsi="宋体" w:eastAsia="仿宋_GB2312"/>
                <w:sz w:val="18"/>
                <w:szCs w:val="18"/>
              </w:rPr>
            </w:pP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12</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企业事业单位突发环境事件应急预案备案</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企业事业单位突发环境事件应急预案备案情况</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《环境保护法》、《突发事件应对法》、《政府信息公开条例》、《企业事业单位突发环境事件应急预案备案管理办法（试行）》</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13</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公共服务事项</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生态环境保护政策与业务</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咨询</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生态环境保护政策与业务咨询答复函</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《环境保护法》、《政府信息公开条例》</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14</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生态环境主题活动组织情况</w:t>
            </w:r>
          </w:p>
        </w:tc>
        <w:tc>
          <w:tcPr>
            <w:tcW w:w="2520" w:type="dxa"/>
            <w:vAlign w:val="center"/>
          </w:tcPr>
          <w:p>
            <w:pPr>
              <w:pStyle w:val="7"/>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《环境保护法》、《政府信息公开条例》</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15</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生态环境污染举报咨询</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生态环境</w:t>
            </w:r>
            <w:r>
              <w:rPr>
                <w:rFonts w:ascii="仿宋_GB2312" w:hAnsi="宋体" w:eastAsia="仿宋_GB2312"/>
                <w:sz w:val="18"/>
                <w:szCs w:val="18"/>
              </w:rPr>
              <w:t>举报、</w:t>
            </w:r>
            <w:r>
              <w:rPr>
                <w:rFonts w:hint="eastAsia" w:ascii="仿宋_GB2312" w:hAnsi="宋体" w:eastAsia="仿宋_GB2312"/>
                <w:sz w:val="18"/>
                <w:szCs w:val="18"/>
              </w:rPr>
              <w:t>咨询方式（电话、地址等）</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《环境保护法》、《政府信息公开条例》、《环境信访办法》</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16</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公共服务事项</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污染源监督监测</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重点排污</w:t>
            </w:r>
            <w:r>
              <w:rPr>
                <w:rFonts w:ascii="仿宋_GB2312" w:hAnsi="宋体" w:eastAsia="仿宋_GB2312"/>
                <w:sz w:val="18"/>
                <w:szCs w:val="18"/>
              </w:rPr>
              <w:t>单位</w:t>
            </w:r>
            <w:r>
              <w:rPr>
                <w:rFonts w:hint="eastAsia" w:ascii="仿宋_GB2312" w:hAnsi="宋体" w:eastAsia="仿宋_GB2312"/>
                <w:sz w:val="18"/>
                <w:szCs w:val="18"/>
              </w:rPr>
              <w:t>监督性监测信息</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《政府信息公开条例》、《国家重点监控企业污染源监督性监测及信息公开办法》、《国家生态环境监测方案》、每年印发的全国生态环境监测工作要点</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17</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污染源信息发布</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重点排污单位基本情况</w:t>
            </w:r>
            <w:r>
              <w:rPr>
                <w:rFonts w:ascii="仿宋_GB2312" w:hAnsi="宋体" w:eastAsia="仿宋_GB2312"/>
                <w:sz w:val="18"/>
                <w:szCs w:val="18"/>
              </w:rPr>
              <w:t>、</w:t>
            </w:r>
            <w:r>
              <w:rPr>
                <w:rFonts w:hint="eastAsia" w:ascii="仿宋_GB2312" w:hAnsi="宋体" w:eastAsia="仿宋_GB2312"/>
                <w:sz w:val="18"/>
                <w:szCs w:val="18"/>
              </w:rPr>
              <w:t>总量控制、污染防治等信息，重点</w:t>
            </w:r>
            <w:r>
              <w:rPr>
                <w:rFonts w:ascii="仿宋_GB2312" w:hAnsi="宋体" w:eastAsia="仿宋_GB2312"/>
                <w:sz w:val="18"/>
                <w:szCs w:val="18"/>
              </w:rPr>
              <w:t>排污单位</w:t>
            </w:r>
            <w:r>
              <w:rPr>
                <w:rFonts w:hint="eastAsia" w:ascii="仿宋_GB2312" w:hAnsi="宋体" w:eastAsia="仿宋_GB2312"/>
                <w:sz w:val="18"/>
                <w:szCs w:val="18"/>
              </w:rPr>
              <w:t>环境信息公开情况监管信息</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《环境保护法》、《政府信息公开条例》</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18</w:t>
            </w:r>
          </w:p>
        </w:tc>
        <w:tc>
          <w:tcPr>
            <w:tcW w:w="72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公共服务事项</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生态环境质量信息发布</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《环境保护法》、《政府信息公开条例》、《国务院关于印发水污染防治行动计划的通知》</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7"/>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19</w:t>
            </w:r>
          </w:p>
        </w:tc>
        <w:tc>
          <w:tcPr>
            <w:tcW w:w="720" w:type="dxa"/>
            <w:vMerge w:val="continue"/>
            <w:vAlign w:val="center"/>
          </w:tcPr>
          <w:p>
            <w:pPr>
              <w:adjustRightInd w:val="0"/>
              <w:snapToGrid w:val="0"/>
              <w:rPr>
                <w:rFonts w:ascii="仿宋_GB2312" w:hAnsi="宋体" w:eastAsia="仿宋_GB2312"/>
                <w:sz w:val="18"/>
                <w:szCs w:val="18"/>
              </w:rPr>
            </w:pP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生态环境统计报告</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本行政机关的政府信息公开工作年度报告、环境统计年度报告</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《政府信息公开条例》、《关于全面推进政务公开工作的意见》、《开展基层政务公开标准化规范化试点工作方案》</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自该信息形成或者变更之日起20个工作日内;政府信息公开工作年度报告按照《政府信息公开条例》要求的时限公开</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市生态环境局浦江分局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color w:val="000000"/>
                <w:sz w:val="18"/>
                <w:szCs w:val="18"/>
              </w:rPr>
              <w:t>■政务服务中心</w:t>
            </w:r>
          </w:p>
        </w:tc>
        <w:tc>
          <w:tcPr>
            <w:tcW w:w="720"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09" w:type="dxa"/>
            <w:vAlign w:val="center"/>
          </w:tcPr>
          <w:p>
            <w:pPr>
              <w:adjustRightInd w:val="0"/>
              <w:snapToGrid w:val="0"/>
              <w:jc w:val="center"/>
              <w:rPr>
                <w:rFonts w:ascii="仿宋_GB2312" w:hAnsi="宋体" w:eastAsia="仿宋_GB2312"/>
                <w:sz w:val="18"/>
                <w:szCs w:val="18"/>
              </w:rPr>
            </w:pPr>
          </w:p>
        </w:tc>
        <w:tc>
          <w:tcPr>
            <w:tcW w:w="551" w:type="dxa"/>
            <w:vAlign w:val="center"/>
          </w:tcPr>
          <w:p>
            <w:pPr>
              <w:adjustRightInd w:val="0"/>
              <w:snapToGrid w:val="0"/>
              <w:jc w:val="center"/>
              <w:rPr>
                <w:rFonts w:ascii="仿宋_GB2312" w:hAnsi="宋体" w:eastAsia="仿宋_GB2312"/>
                <w:sz w:val="18"/>
                <w:szCs w:val="18"/>
              </w:rPr>
            </w:pPr>
            <w:r>
              <w:rPr>
                <w:rFonts w:ascii="仿宋_GB2312" w:hAnsi="宋体" w:eastAsia="仿宋_GB2312"/>
                <w:sz w:val="18"/>
                <w:szCs w:val="18"/>
              </w:rPr>
              <w:t>√</w:t>
            </w:r>
          </w:p>
        </w:tc>
        <w:tc>
          <w:tcPr>
            <w:tcW w:w="720" w:type="dxa"/>
            <w:vAlign w:val="center"/>
          </w:tcPr>
          <w:p>
            <w:pPr>
              <w:adjustRightInd w:val="0"/>
              <w:snapToGrid w:val="0"/>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c>
          <w:tcPr>
            <w:tcW w:w="720" w:type="dxa"/>
            <w:vAlign w:val="center"/>
          </w:tcPr>
          <w:p>
            <w:pPr>
              <w:widowControl/>
              <w:jc w:val="center"/>
              <w:rPr>
                <w:rFonts w:ascii="仿宋_GB2312" w:hAnsi="宋体" w:eastAsia="仿宋_GB2312"/>
                <w:sz w:val="18"/>
                <w:szCs w:val="18"/>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1B"/>
    <w:rsid w:val="000C58AD"/>
    <w:rsid w:val="000C791B"/>
    <w:rsid w:val="008F4755"/>
    <w:rsid w:val="00A0461B"/>
    <w:rsid w:val="00A04BF2"/>
    <w:rsid w:val="00B24E4B"/>
    <w:rsid w:val="00D64AFD"/>
    <w:rsid w:val="02323D69"/>
    <w:rsid w:val="04E07798"/>
    <w:rsid w:val="05E91AA2"/>
    <w:rsid w:val="08942EFA"/>
    <w:rsid w:val="0A4554A5"/>
    <w:rsid w:val="0CE07273"/>
    <w:rsid w:val="0D99788E"/>
    <w:rsid w:val="10E638D5"/>
    <w:rsid w:val="13B25FB3"/>
    <w:rsid w:val="140F72DC"/>
    <w:rsid w:val="15E34D5B"/>
    <w:rsid w:val="17E646EC"/>
    <w:rsid w:val="19505DD5"/>
    <w:rsid w:val="1AC770F4"/>
    <w:rsid w:val="23A46931"/>
    <w:rsid w:val="26294506"/>
    <w:rsid w:val="27895DD9"/>
    <w:rsid w:val="283D6F7C"/>
    <w:rsid w:val="2A413F2E"/>
    <w:rsid w:val="2B2A4F3B"/>
    <w:rsid w:val="2C284721"/>
    <w:rsid w:val="2F703336"/>
    <w:rsid w:val="34473836"/>
    <w:rsid w:val="357B5F78"/>
    <w:rsid w:val="39D7434E"/>
    <w:rsid w:val="3DF21998"/>
    <w:rsid w:val="3FBA3EC6"/>
    <w:rsid w:val="43A10581"/>
    <w:rsid w:val="496C0AF2"/>
    <w:rsid w:val="4CA73A83"/>
    <w:rsid w:val="4EFC1238"/>
    <w:rsid w:val="4F0F2C94"/>
    <w:rsid w:val="50BF7A3C"/>
    <w:rsid w:val="52CB3DBD"/>
    <w:rsid w:val="52ED55F0"/>
    <w:rsid w:val="56D17984"/>
    <w:rsid w:val="5BA22125"/>
    <w:rsid w:val="5CB15B4B"/>
    <w:rsid w:val="5CCA77B0"/>
    <w:rsid w:val="5D180C6D"/>
    <w:rsid w:val="5EDA78F3"/>
    <w:rsid w:val="63E80F14"/>
    <w:rsid w:val="66381A84"/>
    <w:rsid w:val="6D5172F5"/>
    <w:rsid w:val="6E671799"/>
    <w:rsid w:val="70D55C85"/>
    <w:rsid w:val="74F0089C"/>
    <w:rsid w:val="74FF36CE"/>
    <w:rsid w:val="7F28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列出段落1"/>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D5336-074A-47BB-ADB9-E7FF13A8B1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488</Words>
  <Characters>2783</Characters>
  <Lines>23</Lines>
  <Paragraphs>6</Paragraphs>
  <TotalTime>1</TotalTime>
  <ScaleCrop>false</ScaleCrop>
  <LinksUpToDate>false</LinksUpToDate>
  <CharactersWithSpaces>3265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2020-08-31T06:31:00Z</dcterms:created>
  <dc:creator>LYC</dc:creator>
  <cp:lastModifiedBy>张凯</cp:lastModifiedBy>
  <dcterms:modified xsi:type="dcterms:W3CDTF">2020-10-27T08:44:41Z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