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color w:val="2F2F2F"/>
          <w:kern w:val="0"/>
          <w:sz w:val="32"/>
          <w:szCs w:val="32"/>
        </w:rPr>
      </w:pPr>
      <w:r>
        <w:rPr>
          <w:rFonts w:ascii="Times New Roman" w:hAnsi="Times New Roman" w:eastAsia="黑体"/>
          <w:color w:val="2F2F2F"/>
          <w:kern w:val="0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设区市农房因洪涝地质灾害受损及恢复重建情况月报表</w:t>
      </w:r>
      <w:bookmarkStart w:id="0" w:name="_GoBack"/>
      <w:bookmarkEnd w:id="0"/>
    </w:p>
    <w:p>
      <w:pPr>
        <w:spacing w:line="660" w:lineRule="exact"/>
        <w:rPr>
          <w:rFonts w:ascii="Times New Roman" w:hAnsi="Times New Roman"/>
          <w:color w:val="2F2F2F"/>
          <w:kern w:val="0"/>
          <w:sz w:val="32"/>
          <w:szCs w:val="32"/>
          <w:u w:val="single"/>
        </w:rPr>
      </w:pPr>
      <w:r>
        <w:rPr>
          <w:rFonts w:ascii="Times New Roman" w:hAnsi="Times New Roman"/>
          <w:color w:val="2F2F2F"/>
          <w:kern w:val="0"/>
          <w:sz w:val="32"/>
          <w:szCs w:val="32"/>
        </w:rPr>
        <w:t>填表单位：</w:t>
      </w:r>
      <w:r>
        <w:rPr>
          <w:rFonts w:ascii="Times New Roman" w:hAnsi="Times New Roman"/>
          <w:color w:val="2F2F2F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/>
          <w:color w:val="2F2F2F"/>
          <w:kern w:val="0"/>
          <w:sz w:val="32"/>
          <w:szCs w:val="32"/>
        </w:rPr>
        <w:t>（盖章）    填表人</w:t>
      </w:r>
      <w:r>
        <w:rPr>
          <w:rFonts w:ascii="Times New Roman" w:hAnsi="Times New Roman"/>
          <w:color w:val="2F2F2F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/>
          <w:color w:val="2F2F2F"/>
          <w:kern w:val="0"/>
          <w:sz w:val="32"/>
          <w:szCs w:val="32"/>
        </w:rPr>
        <w:t xml:space="preserve">    填表时间：</w:t>
      </w:r>
      <w:r>
        <w:rPr>
          <w:rFonts w:ascii="Times New Roman" w:hAnsi="Times New Roman"/>
          <w:color w:val="2F2F2F"/>
          <w:kern w:val="0"/>
          <w:sz w:val="32"/>
          <w:szCs w:val="32"/>
          <w:u w:val="single"/>
        </w:rPr>
        <w:t xml:space="preserve">                  </w:t>
      </w:r>
    </w:p>
    <w:p>
      <w:pPr>
        <w:jc w:val="right"/>
        <w:rPr>
          <w:rFonts w:ascii="Times New Roman" w:hAnsi="Times New Roman"/>
          <w:b/>
          <w:color w:val="2F2F2F"/>
          <w:kern w:val="0"/>
          <w:szCs w:val="21"/>
        </w:rPr>
      </w:pPr>
      <w:r>
        <w:rPr>
          <w:rFonts w:hint="default" w:ascii="Times New Roman" w:hAnsi="Times New Roman"/>
          <w:b/>
          <w:color w:val="2F2F2F"/>
          <w:kern w:val="0"/>
          <w:szCs w:val="21"/>
        </w:rPr>
        <w:t>（单位</w:t>
      </w:r>
      <w:r>
        <w:rPr>
          <w:rFonts w:ascii="Times New Roman" w:hAnsi="Times New Roman"/>
          <w:b/>
          <w:color w:val="2F2F2F"/>
          <w:kern w:val="0"/>
          <w:szCs w:val="21"/>
        </w:rPr>
        <w:t>：户</w:t>
      </w:r>
      <w:r>
        <w:rPr>
          <w:rFonts w:hint="default" w:ascii="Times New Roman" w:hAnsi="Times New Roman"/>
          <w:b/>
          <w:color w:val="2F2F2F"/>
          <w:kern w:val="0"/>
          <w:szCs w:val="21"/>
        </w:rPr>
        <w:t>）</w:t>
      </w:r>
    </w:p>
    <w:tbl>
      <w:tblPr>
        <w:tblStyle w:val="4"/>
        <w:tblW w:w="16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29"/>
        <w:gridCol w:w="428"/>
        <w:gridCol w:w="680"/>
        <w:gridCol w:w="709"/>
        <w:gridCol w:w="708"/>
        <w:gridCol w:w="709"/>
        <w:gridCol w:w="426"/>
        <w:gridCol w:w="426"/>
        <w:gridCol w:w="636"/>
        <w:gridCol w:w="639"/>
        <w:gridCol w:w="709"/>
        <w:gridCol w:w="709"/>
        <w:gridCol w:w="426"/>
        <w:gridCol w:w="426"/>
        <w:gridCol w:w="709"/>
        <w:gridCol w:w="709"/>
        <w:gridCol w:w="709"/>
        <w:gridCol w:w="708"/>
        <w:gridCol w:w="426"/>
        <w:gridCol w:w="426"/>
        <w:gridCol w:w="709"/>
        <w:gridCol w:w="661"/>
        <w:gridCol w:w="756"/>
        <w:gridCol w:w="709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县（市、区）</w:t>
            </w:r>
          </w:p>
        </w:tc>
        <w:tc>
          <w:tcPr>
            <w:tcW w:w="7208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总户数</w:t>
            </w:r>
          </w:p>
        </w:tc>
        <w:tc>
          <w:tcPr>
            <w:tcW w:w="7374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其中：农村困难家庭户数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受损住房数量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过渡安置数量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安全性鉴定情况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已实施恢复重建情况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恢复重建资金渠道情况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受损住房数量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过渡安置数量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安全性鉴定情况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已实施恢复重建情况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恢复重建资金渠道情况</w:t>
            </w: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合计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其中：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已鉴定数量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其中：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修缮加固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拆除重建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灾后重建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农村危房改造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合计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其中：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已鉴定数量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其中：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修缮加固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拆除重建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灾后重建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农村危房改造</w:t>
            </w: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倒塌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严重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受损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一般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受损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C级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D级</w:t>
            </w:r>
          </w:p>
        </w:tc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倒塌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严重受损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一般受损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C级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D级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2F2F2F"/>
                <w:kern w:val="0"/>
                <w:szCs w:val="21"/>
              </w:rPr>
            </w:pPr>
            <w:r>
              <w:rPr>
                <w:rFonts w:ascii="Times New Roman" w:hAnsi="Times New Roman"/>
                <w:color w:val="2F2F2F"/>
                <w:kern w:val="0"/>
                <w:szCs w:val="21"/>
              </w:rPr>
              <w:t>合计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2F2F2F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楷体"/>
          <w:color w:val="2F2F2F"/>
          <w:kern w:val="0"/>
          <w:sz w:val="24"/>
          <w:szCs w:val="28"/>
        </w:rPr>
      </w:pPr>
      <w:r>
        <w:rPr>
          <w:rFonts w:ascii="Times New Roman" w:hAnsi="Times New Roman" w:eastAsia="黑体"/>
          <w:color w:val="2F2F2F"/>
          <w:kern w:val="0"/>
          <w:sz w:val="24"/>
          <w:szCs w:val="28"/>
        </w:rPr>
        <w:t>说明：</w:t>
      </w:r>
      <w:r>
        <w:rPr>
          <w:rFonts w:ascii="Times New Roman" w:hAnsi="Times New Roman" w:eastAsia="楷体"/>
          <w:color w:val="2F2F2F"/>
          <w:kern w:val="0"/>
          <w:sz w:val="24"/>
          <w:szCs w:val="28"/>
        </w:rPr>
        <w:t xml:space="preserve">1. </w:t>
      </w: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严重受损是指房屋</w:t>
      </w:r>
      <w:r>
        <w:rPr>
          <w:rFonts w:ascii="Times New Roman" w:hAnsi="Times New Roman" w:eastAsia="楷体"/>
          <w:color w:val="2F2F2F"/>
          <w:kern w:val="0"/>
          <w:sz w:val="24"/>
          <w:szCs w:val="28"/>
        </w:rPr>
        <w:t>整体</w:t>
      </w: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出现险情，</w:t>
      </w:r>
      <w:r>
        <w:rPr>
          <w:rFonts w:ascii="Times New Roman" w:hAnsi="Times New Roman" w:eastAsia="楷体"/>
          <w:color w:val="2F2F2F"/>
          <w:kern w:val="0"/>
          <w:sz w:val="24"/>
          <w:szCs w:val="28"/>
        </w:rPr>
        <w:t>已不能满足安全使用要求；一般受损是指房屋局部出现险情</w:t>
      </w: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；</w:t>
      </w:r>
    </w:p>
    <w:p>
      <w:pPr>
        <w:spacing w:line="276" w:lineRule="auto"/>
        <w:ind w:firstLine="720" w:firstLineChars="300"/>
        <w:rPr>
          <w:rFonts w:ascii="Times New Roman" w:hAnsi="Times New Roman" w:eastAsia="楷体"/>
          <w:color w:val="2F2F2F"/>
          <w:kern w:val="0"/>
          <w:sz w:val="24"/>
          <w:szCs w:val="28"/>
        </w:rPr>
      </w:pP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2.</w:t>
      </w:r>
      <w:r>
        <w:rPr>
          <w:rFonts w:ascii="Times New Roman" w:hAnsi="Times New Roman" w:eastAsia="楷体"/>
          <w:color w:val="2F2F2F"/>
          <w:kern w:val="0"/>
          <w:sz w:val="24"/>
          <w:szCs w:val="28"/>
        </w:rPr>
        <w:t xml:space="preserve"> </w:t>
      </w: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过渡安置数量需填报通过投亲靠友、租住或借住其他安全住房、集体公租房等方式临时解决住房安全的户数；</w:t>
      </w:r>
    </w:p>
    <w:p>
      <w:pPr>
        <w:spacing w:line="276" w:lineRule="auto"/>
        <w:ind w:firstLine="720" w:firstLineChars="300"/>
        <w:rPr>
          <w:rFonts w:ascii="Times New Roman" w:hAnsi="Times New Roman" w:eastAsia="楷体"/>
          <w:color w:val="2F2F2F"/>
          <w:kern w:val="0"/>
          <w:sz w:val="24"/>
          <w:szCs w:val="28"/>
        </w:rPr>
      </w:pPr>
      <w:r>
        <w:rPr>
          <w:rFonts w:hint="default" w:ascii="Times New Roman" w:hAnsi="Times New Roman" w:eastAsia="楷体"/>
          <w:color w:val="2F2F2F"/>
          <w:kern w:val="0"/>
          <w:sz w:val="24"/>
          <w:szCs w:val="28"/>
        </w:rPr>
        <w:t>3.</w:t>
      </w:r>
      <w:r>
        <w:rPr>
          <w:rFonts w:hint="default" w:ascii="Times New Roman" w:hAnsi="Times New Roman"/>
        </w:rPr>
        <w:t xml:space="preserve"> </w:t>
      </w:r>
      <w:r>
        <w:rPr>
          <w:rFonts w:hint="eastAsia" w:ascii="Times New Roman" w:hAnsi="Times New Roman" w:eastAsia="楷体"/>
          <w:color w:val="2F2F2F"/>
          <w:kern w:val="0"/>
          <w:sz w:val="24"/>
          <w:szCs w:val="28"/>
        </w:rPr>
        <w:t>本表填报各设区市所有农村住房因灾受损及恢复重建情况，需由设区市建设局和扶贫办联合统计上报。</w:t>
      </w:r>
    </w:p>
    <w:p>
      <w:pPr>
        <w:spacing w:line="660" w:lineRule="exact"/>
        <w:rPr>
          <w:rFonts w:ascii="Times New Roman" w:hAnsi="Times New Roman" w:eastAsia="楷体"/>
          <w:color w:val="2F2F2F"/>
          <w:kern w:val="0"/>
          <w:sz w:val="32"/>
          <w:szCs w:val="32"/>
          <w:u w:val="single"/>
        </w:rPr>
      </w:pPr>
      <w:r>
        <w:rPr>
          <w:rFonts w:ascii="Times New Roman" w:hAnsi="Times New Roman"/>
          <w:color w:val="2F2F2F"/>
          <w:kern w:val="0"/>
          <w:sz w:val="32"/>
          <w:szCs w:val="32"/>
        </w:rPr>
        <w:t xml:space="preserve">                                     设区市建设局主要负责人签名：</w:t>
      </w:r>
      <w:r>
        <w:rPr>
          <w:rFonts w:ascii="Times New Roman" w:hAnsi="Times New Roman"/>
          <w:color w:val="2F2F2F"/>
          <w:kern w:val="0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楷体"/>
          <w:color w:val="2F2F2F"/>
          <w:kern w:val="0"/>
          <w:sz w:val="32"/>
          <w:szCs w:val="32"/>
          <w:u w:val="single"/>
        </w:rPr>
        <w:t xml:space="preserve">     </w:t>
      </w:r>
    </w:p>
    <w:p>
      <w:pPr>
        <w:spacing w:line="660" w:lineRule="exact"/>
        <w:ind w:firstLine="5920" w:firstLineChars="1850"/>
        <w:rPr>
          <w:rFonts w:ascii="Times New Roman" w:hAnsi="Times New Roman"/>
        </w:rPr>
      </w:pPr>
      <w:r>
        <w:rPr>
          <w:rFonts w:hint="default" w:ascii="Times New Roman" w:hAnsi="Times New Roman"/>
          <w:color w:val="2F2F2F"/>
          <w:kern w:val="0"/>
          <w:sz w:val="32"/>
          <w:szCs w:val="32"/>
        </w:rPr>
        <w:t>设区市扶贫办主要负责人签名：</w:t>
      </w:r>
      <w:r>
        <w:rPr>
          <w:rFonts w:ascii="Times New Roman" w:hAnsi="Times New Roman" w:eastAsia="楷体"/>
          <w:color w:val="2F2F2F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楷体"/>
          <w:color w:val="2F2F2F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6339840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99.2pt;height:0pt;width:446.25pt;z-index:251661312;mso-width-relative:page;mso-height-relative:page;" filled="f" stroked="t" coordsize="21600,21600" o:gfxdata="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1HWx9gAAAAIAQAADwAA&#10;AAAAAAABACAAAAAiAAAAZHJzL2Rvd25yZXYueG1sUEsBAhQAFAAAAAgAh07iQJRimY/dAQAAlwMA&#10;AA4AAAAAAAAAAQAgAAAAJwEAAGRycy9lMm9Eb2MueG1sUEsFBgAAAAAGAAYAWQEAAHYFAAAAAA==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6381750</wp:posOffset>
                </wp:positionV>
                <wp:extent cx="566737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02.5pt;height:0pt;width:446.25pt;z-index:251660288;mso-width-relative:page;mso-height-relative:page;" filled="f" stroked="t" coordsize="21600,21600" o:gfxdata="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IKx82QAAAAoBAAAP&#10;AAAAAAAAAAEAIAAAACIAAABkcnMvZG93bnJldi54bWxQSwECFAAUAAAACACHTuJAeVVaKd4BAACX&#10;AwAADgAAAAAAAAABACAAAAAoAQAAZHJzL2Uyb0RvYy54bWxQSwUGAAAAAAYABgBZAQAAeAUAAAAA&#10;">
                <v:path arrowok="t"/>
                <v:fill on="f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/>
    <w:sectPr>
      <w:footerReference r:id="rId3" w:type="default"/>
      <w:pgSz w:w="16838" w:h="11906" w:orient="landscape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B602A"/>
    <w:rsid w:val="472B6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2020-09-02T09:18:00Z</dcterms:created>
  <dc:creator>浙江省住建厅3号</dc:creator>
  <cp:lastModifiedBy>浙江省住建厅3号</cp:lastModifiedBy>
  <dcterms:modified xsi:type="dcterms:W3CDTF">2020-09-02T09:19:38Z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