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highlight w:val="none"/>
        </w:rPr>
      </w:pPr>
    </w:p>
    <w:p>
      <w:pPr>
        <w:spacing w:line="560" w:lineRule="exact"/>
        <w:jc w:val="center"/>
        <w:rPr>
          <w:rFonts w:ascii="方正小标宋简体" w:hAnsi="方正小标宋简体" w:eastAsia="方正小标宋简体" w:cs="方正小标宋简体"/>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jc w:val="center"/>
        <w:rPr>
          <w:rFonts w:ascii="方正小标宋简体" w:hAnsi="方正小标宋简体" w:eastAsia="方正小标宋简体" w:cs="方正小标宋简体"/>
          <w:bCs/>
          <w:spacing w:val="15"/>
          <w:sz w:val="44"/>
          <w:szCs w:val="44"/>
          <w:highlight w:val="none"/>
        </w:rPr>
      </w:pPr>
    </w:p>
    <w:p>
      <w:pPr>
        <w:spacing w:line="560" w:lineRule="exact"/>
        <w:ind w:firstLine="940" w:firstLineChars="200"/>
        <w:jc w:val="center"/>
        <w:rPr>
          <w:rFonts w:hint="eastAsia" w:ascii="方正小标宋简体" w:hAnsi="方正小标宋简体" w:eastAsia="方正小标宋简体" w:cs="方正小标宋简体"/>
          <w:bCs/>
          <w:spacing w:val="15"/>
          <w:sz w:val="44"/>
          <w:szCs w:val="44"/>
          <w:highlight w:val="none"/>
        </w:rPr>
      </w:pPr>
      <w:r>
        <w:rPr>
          <w:rFonts w:ascii="方正小标宋简体" w:hAnsi="方正小标宋简体" w:eastAsia="方正小标宋简体" w:cs="方正小标宋简体"/>
          <w:bCs/>
          <w:spacing w:val="15"/>
          <w:sz w:val="44"/>
          <w:szCs w:val="44"/>
          <w:highlight w:val="none"/>
        </w:rPr>
        <w:t>浦江县月泉书院管理中心</w:t>
      </w:r>
      <w:r>
        <w:rPr>
          <w:rFonts w:hint="eastAsia" w:ascii="方正小标宋简体" w:hAnsi="方正小标宋简体" w:eastAsia="方正小标宋简体" w:cs="方正小标宋简体"/>
          <w:bCs/>
          <w:spacing w:val="15"/>
          <w:sz w:val="44"/>
          <w:szCs w:val="44"/>
          <w:highlight w:val="none"/>
        </w:rPr>
        <w:t>2024年</w:t>
      </w:r>
    </w:p>
    <w:p>
      <w:pPr>
        <w:spacing w:line="560" w:lineRule="exact"/>
        <w:ind w:firstLine="940" w:firstLineChars="200"/>
        <w:jc w:val="center"/>
        <w:rPr>
          <w:rFonts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rPr>
        <w:t>单位预算</w:t>
      </w:r>
    </w:p>
    <w:p>
      <w:pPr>
        <w:spacing w:line="560" w:lineRule="exact"/>
        <w:ind w:firstLine="590" w:firstLineChars="196"/>
        <w:rPr>
          <w:rStyle w:val="7"/>
          <w:color w:val="000000"/>
          <w:sz w:val="30"/>
          <w:szCs w:val="30"/>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ind w:firstLine="627" w:firstLineChars="196"/>
        <w:jc w:val="center"/>
        <w:rPr>
          <w:rStyle w:val="7"/>
          <w:rFonts w:ascii="黑体" w:eastAsia="黑体"/>
          <w:b w:val="0"/>
          <w:color w:val="000000"/>
          <w:sz w:val="32"/>
          <w:szCs w:val="32"/>
          <w:highlight w:val="none"/>
        </w:rPr>
      </w:pPr>
    </w:p>
    <w:p>
      <w:pPr>
        <w:spacing w:line="520" w:lineRule="exact"/>
        <w:rPr>
          <w:rStyle w:val="7"/>
          <w:rFonts w:ascii="黑体" w:eastAsia="黑体"/>
          <w:b w:val="0"/>
          <w:color w:val="000000"/>
          <w:sz w:val="32"/>
          <w:szCs w:val="32"/>
          <w:highlight w:val="none"/>
        </w:rPr>
      </w:pPr>
    </w:p>
    <w:p>
      <w:pPr>
        <w:spacing w:line="520" w:lineRule="exact"/>
        <w:ind w:firstLine="640" w:firstLineChars="200"/>
        <w:jc w:val="center"/>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目录</w:t>
      </w:r>
    </w:p>
    <w:p>
      <w:pPr>
        <w:spacing w:line="520" w:lineRule="exact"/>
        <w:ind w:firstLine="640" w:firstLineChars="200"/>
        <w:rPr>
          <w:rFonts w:eastAsia="黑体"/>
          <w:sz w:val="32"/>
          <w:highlight w:val="none"/>
        </w:rPr>
      </w:pPr>
      <w:r>
        <w:rPr>
          <w:rFonts w:hint="eastAsia" w:ascii="黑体" w:eastAsia="黑体"/>
          <w:color w:val="000000"/>
          <w:sz w:val="32"/>
          <w:highlight w:val="none"/>
        </w:rPr>
        <w:t>一、单位</w:t>
      </w:r>
      <w:r>
        <w:rPr>
          <w:rStyle w:val="7"/>
          <w:rFonts w:hint="eastAsia" w:ascii="黑体" w:eastAsia="黑体"/>
          <w:b w:val="0"/>
          <w:color w:val="000000"/>
          <w:sz w:val="32"/>
          <w:szCs w:val="32"/>
          <w:highlight w:val="none"/>
        </w:rPr>
        <w:t>概况</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（一）主要职能</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（二）单位机构设置情况</w:t>
      </w:r>
    </w:p>
    <w:p>
      <w:pPr>
        <w:spacing w:line="520" w:lineRule="exact"/>
        <w:ind w:firstLine="640" w:firstLineChars="200"/>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二、2024年浦江县月泉书院管理中心单位预算安排情况说明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（一）关于浦江县月泉书院管理中心2024年收支预算情况的总体说明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（二）关于浦江县月泉书院管理中心2024年收入预算情况说明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（三）关于浦江县月泉书院管理中心2024年支出预算情况说明</w:t>
      </w:r>
      <w:r>
        <w:rPr>
          <w:rFonts w:hint="eastAsia" w:ascii="楷体_GB2312" w:hAnsi="楷体_GB2312" w:eastAsia="楷体_GB2312" w:cs="楷体_GB2312"/>
          <w:bCs/>
          <w:sz w:val="32"/>
          <w:szCs w:val="32"/>
          <w:highlight w:val="none"/>
        </w:rPr>
        <w:br w:type="textWrapping"/>
      </w:r>
      <w:r>
        <w:rPr>
          <w:rFonts w:hint="eastAsia" w:ascii="楷体_GB2312" w:hAnsi="楷体_GB2312" w:eastAsia="楷体_GB2312" w:cs="楷体_GB2312"/>
          <w:bCs/>
          <w:sz w:val="32"/>
          <w:szCs w:val="32"/>
          <w:highlight w:val="none"/>
        </w:rPr>
        <w:t>（四）关于浦江县月泉书院管理中心2024年财政拨款收支预算情况的总体说明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（五）关于浦江县月泉书院管理中心2024年一般公共预算拨款情况说明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（六）关于浦江县月泉书院管理中心2024年一般公共预算基本支出情况说明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（七）关于浦江县月泉书院管理中心2024年政府性基金预算支出情况说明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（八）关于浦江县月泉书院管理中心2024年国有资本经营预算支出情况说明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（九）关于浦江县月泉书院管理中心2024年一般公共预算“三公”经费预算情况说明</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5"/>
        <w:spacing w:line="520" w:lineRule="exact"/>
        <w:ind w:firstLine="640" w:firstLineChars="200"/>
        <w:rPr>
          <w:rStyle w:val="7"/>
          <w:rFonts w:ascii="黑体" w:hAnsi="Calibri" w:eastAsia="黑体"/>
          <w:b w:val="0"/>
          <w:color w:val="000000"/>
          <w:kern w:val="2"/>
          <w:sz w:val="32"/>
          <w:szCs w:val="32"/>
          <w:highlight w:val="none"/>
        </w:rPr>
      </w:pPr>
      <w:r>
        <w:rPr>
          <w:rStyle w:val="7"/>
          <w:rFonts w:hint="eastAsia" w:ascii="黑体" w:hAnsi="Calibri" w:eastAsia="黑体"/>
          <w:b w:val="0"/>
          <w:color w:val="000000"/>
          <w:kern w:val="2"/>
          <w:sz w:val="32"/>
          <w:szCs w:val="32"/>
          <w:highlight w:val="none"/>
        </w:rPr>
        <w:t>三、名词解释</w:t>
      </w:r>
    </w:p>
    <w:p>
      <w:pPr>
        <w:spacing w:line="520" w:lineRule="exact"/>
        <w:ind w:firstLine="640" w:firstLineChars="200"/>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四、2024年浦江县月泉书院管理中心单位预算表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（一）2024年单位收支预算总表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（二）2024年单位收入预算总表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（三）2024年单位支出预算总表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（四）2024年单位财政拨款收支预算总表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（五）2024年单位一般公共预算支出表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（六）2024年单位一般公共预算基本支出表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（七）2024年单位一般公共预算“三公”经费支出表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（八）2024年单位政府性基金预算支出表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（九）2024年单位国有资本经营预算支出表</w:t>
      </w:r>
    </w:p>
    <w:p>
      <w:pPr>
        <w:autoSpaceDE w:val="0"/>
        <w:autoSpaceDN w:val="0"/>
        <w:adjustRightInd w:val="0"/>
        <w:ind w:left="420" w:leftChars="200" w:firstLine="640" w:firstLineChars="200"/>
        <w:jc w:val="left"/>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（十）2024年单位项目支出预算表</w:t>
      </w:r>
    </w:p>
    <w:p>
      <w:pPr>
        <w:autoSpaceDE w:val="0"/>
        <w:autoSpaceDN w:val="0"/>
        <w:adjustRightInd w:val="0"/>
        <w:ind w:left="420" w:leftChars="200" w:firstLine="640" w:firstLineChars="200"/>
        <w:jc w:val="left"/>
        <w:rPr>
          <w:rStyle w:val="7"/>
          <w:rFonts w:ascii="楷体_GB2312" w:hAnsi="楷体_GB2312" w:eastAsia="楷体_GB2312" w:cs="楷体_GB2312"/>
          <w:b w:val="0"/>
          <w:sz w:val="32"/>
          <w:szCs w:val="32"/>
          <w:highlight w:val="none"/>
        </w:rPr>
      </w:pPr>
      <w:r>
        <w:rPr>
          <w:rFonts w:hint="eastAsia" w:ascii="楷体_GB2312" w:hAnsi="楷体_GB2312" w:eastAsia="楷体_GB2312" w:cs="楷体_GB2312"/>
          <w:bCs/>
          <w:sz w:val="32"/>
          <w:szCs w:val="32"/>
          <w:highlight w:val="none"/>
        </w:rPr>
        <w:t>（十一）2024年单位项目支出绩效表</w:t>
      </w:r>
    </w:p>
    <w:p>
      <w:pPr>
        <w:pStyle w:val="10"/>
        <w:rPr>
          <w:rStyle w:val="7"/>
          <w:rFonts w:hint="default" w:ascii="黑体" w:eastAsia="黑体"/>
          <w:b w:val="0"/>
          <w:sz w:val="32"/>
          <w:szCs w:val="32"/>
          <w:highlight w:val="none"/>
        </w:rPr>
      </w:pPr>
    </w:p>
    <w:p>
      <w:pPr>
        <w:pStyle w:val="10"/>
        <w:rPr>
          <w:rStyle w:val="7"/>
          <w:rFonts w:hint="default" w:ascii="黑体" w:eastAsia="黑体"/>
          <w:b w:val="0"/>
          <w:sz w:val="32"/>
          <w:szCs w:val="32"/>
          <w:highlight w:val="none"/>
        </w:rPr>
      </w:pPr>
    </w:p>
    <w:p>
      <w:pPr>
        <w:pStyle w:val="10"/>
        <w:rPr>
          <w:rStyle w:val="7"/>
          <w:rFonts w:hint="default" w:ascii="黑体" w:eastAsia="黑体"/>
          <w:b w:val="0"/>
          <w:sz w:val="32"/>
          <w:szCs w:val="32"/>
          <w:highlight w:val="none"/>
        </w:rPr>
      </w:pPr>
    </w:p>
    <w:p>
      <w:pPr>
        <w:pStyle w:val="10"/>
        <w:rPr>
          <w:rStyle w:val="7"/>
          <w:rFonts w:hint="default" w:ascii="黑体" w:eastAsia="黑体"/>
          <w:b w:val="0"/>
          <w:sz w:val="32"/>
          <w:szCs w:val="32"/>
          <w:highlight w:val="none"/>
        </w:rPr>
      </w:pPr>
    </w:p>
    <w:p>
      <w:pPr>
        <w:pStyle w:val="10"/>
        <w:rPr>
          <w:rStyle w:val="7"/>
          <w:rFonts w:hint="default" w:ascii="黑体" w:eastAsia="黑体"/>
          <w:b w:val="0"/>
          <w:sz w:val="32"/>
          <w:szCs w:val="32"/>
          <w:highlight w:val="none"/>
        </w:rPr>
      </w:pPr>
    </w:p>
    <w:p>
      <w:pPr>
        <w:pStyle w:val="10"/>
        <w:rPr>
          <w:rStyle w:val="7"/>
          <w:rFonts w:hint="default" w:ascii="黑体" w:eastAsia="黑体"/>
          <w:b w:val="0"/>
          <w:sz w:val="32"/>
          <w:szCs w:val="32"/>
          <w:highlight w:val="none"/>
        </w:rPr>
      </w:pPr>
    </w:p>
    <w:p>
      <w:pPr>
        <w:spacing w:line="520" w:lineRule="exact"/>
        <w:ind w:firstLine="640" w:firstLineChars="200"/>
        <w:rPr>
          <w:rStyle w:val="7"/>
          <w:rFonts w:ascii="黑体" w:eastAsia="黑体"/>
          <w:b w:val="0"/>
          <w:color w:val="000000"/>
          <w:sz w:val="32"/>
          <w:szCs w:val="32"/>
          <w:highlight w:val="none"/>
        </w:rPr>
      </w:pPr>
      <w:r>
        <w:rPr>
          <w:rStyle w:val="7"/>
          <w:rFonts w:hint="eastAsia" w:ascii="黑体" w:eastAsia="黑体"/>
          <w:b w:val="0"/>
          <w:color w:val="000000"/>
          <w:sz w:val="32"/>
          <w:szCs w:val="32"/>
          <w:highlight w:val="none"/>
        </w:rPr>
        <w:t>一、单位概况</w:t>
      </w:r>
    </w:p>
    <w:p>
      <w:pPr>
        <w:spacing w:line="52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（一）主要职能</w:t>
      </w:r>
    </w:p>
    <w:p>
      <w:pPr>
        <w:pStyle w:val="16"/>
        <w:numPr>
          <w:ilvl w:val="0"/>
          <w:numId w:val="0"/>
        </w:numPr>
        <w:bidi w:val="0"/>
        <w:ind w:firstLine="640" w:firstLineChars="200"/>
        <w:rPr>
          <w:rFonts w:hint="default" w:ascii="Times New Roman" w:hAnsi="Times New Roman" w:eastAsia="仿宋_GB2312" w:cs="Times New Roman"/>
          <w:b w:val="0"/>
          <w:kern w:val="2"/>
          <w:sz w:val="32"/>
          <w:szCs w:val="32"/>
          <w:highlight w:val="none"/>
          <w:lang w:val="en-US" w:eastAsia="zh-CN" w:bidi="ar-SA"/>
        </w:rPr>
      </w:pPr>
      <w:r>
        <w:rPr>
          <w:rFonts w:hint="default" w:ascii="Times New Roman" w:hAnsi="Times New Roman" w:eastAsia="仿宋_GB2312" w:cs="Times New Roman"/>
          <w:b w:val="0"/>
          <w:kern w:val="2"/>
          <w:sz w:val="32"/>
          <w:szCs w:val="32"/>
          <w:highlight w:val="none"/>
          <w:lang w:val="en-US" w:eastAsia="zh-CN" w:bidi="ar-SA"/>
        </w:rPr>
        <w:t>1.承担月泉书院的日常管理和维护运行工作。</w:t>
      </w:r>
    </w:p>
    <w:p>
      <w:pPr>
        <w:pStyle w:val="16"/>
        <w:numPr>
          <w:ilvl w:val="0"/>
          <w:numId w:val="0"/>
        </w:numPr>
        <w:bidi w:val="0"/>
        <w:ind w:firstLine="640" w:firstLineChars="200"/>
        <w:rPr>
          <w:rFonts w:hint="default" w:ascii="Times New Roman" w:hAnsi="Times New Roman" w:eastAsia="仿宋_GB2312" w:cs="Times New Roman"/>
          <w:b w:val="0"/>
          <w:kern w:val="2"/>
          <w:sz w:val="32"/>
          <w:szCs w:val="32"/>
          <w:highlight w:val="none"/>
          <w:lang w:val="en-US" w:eastAsia="zh-CN" w:bidi="ar-SA"/>
        </w:rPr>
      </w:pPr>
      <w:r>
        <w:rPr>
          <w:rFonts w:hint="default" w:ascii="Times New Roman" w:hAnsi="Times New Roman" w:eastAsia="仿宋_GB2312" w:cs="Times New Roman"/>
          <w:b w:val="0"/>
          <w:kern w:val="2"/>
          <w:sz w:val="32"/>
          <w:szCs w:val="32"/>
          <w:highlight w:val="none"/>
          <w:lang w:val="en-US" w:eastAsia="zh-CN" w:bidi="ar-SA"/>
        </w:rPr>
        <w:t>2.负责收集、整理、挖掘有关月泉书院、月泉吟社的人文历史资料。</w:t>
      </w:r>
    </w:p>
    <w:p>
      <w:pPr>
        <w:pStyle w:val="16"/>
        <w:numPr>
          <w:ilvl w:val="0"/>
          <w:numId w:val="0"/>
        </w:numPr>
        <w:bidi w:val="0"/>
        <w:ind w:firstLine="640" w:firstLineChars="200"/>
        <w:rPr>
          <w:rFonts w:hint="default" w:ascii="Times New Roman" w:hAnsi="Times New Roman" w:eastAsia="仿宋_GB2312" w:cs="Times New Roman"/>
          <w:b w:val="0"/>
          <w:kern w:val="2"/>
          <w:sz w:val="32"/>
          <w:szCs w:val="32"/>
          <w:highlight w:val="none"/>
          <w:lang w:val="en-US" w:eastAsia="zh-CN" w:bidi="ar-SA"/>
        </w:rPr>
      </w:pPr>
      <w:r>
        <w:rPr>
          <w:rFonts w:hint="default" w:ascii="Times New Roman" w:hAnsi="Times New Roman" w:eastAsia="仿宋_GB2312" w:cs="Times New Roman"/>
          <w:b w:val="0"/>
          <w:kern w:val="2"/>
          <w:sz w:val="32"/>
          <w:szCs w:val="32"/>
          <w:highlight w:val="none"/>
          <w:lang w:val="en-US" w:eastAsia="zh-CN" w:bidi="ar-SA"/>
        </w:rPr>
        <w:t>3.承办文艺交流活动，为各文艺家协会提供服务。</w:t>
      </w:r>
    </w:p>
    <w:p>
      <w:pPr>
        <w:pStyle w:val="16"/>
        <w:numPr>
          <w:ilvl w:val="0"/>
          <w:numId w:val="0"/>
        </w:numPr>
        <w:bidi w:val="0"/>
        <w:ind w:firstLine="640" w:firstLineChars="200"/>
        <w:rPr>
          <w:rFonts w:hint="default" w:ascii="Times New Roman" w:hAnsi="Times New Roman" w:eastAsia="仿宋_GB2312" w:cs="Times New Roman"/>
          <w:b w:val="0"/>
          <w:kern w:val="2"/>
          <w:sz w:val="32"/>
          <w:szCs w:val="32"/>
          <w:highlight w:val="none"/>
          <w:lang w:val="en-US" w:eastAsia="zh-CN" w:bidi="ar-SA"/>
        </w:rPr>
      </w:pPr>
      <w:r>
        <w:rPr>
          <w:rFonts w:hint="default" w:ascii="Times New Roman" w:hAnsi="Times New Roman" w:eastAsia="仿宋_GB2312" w:cs="Times New Roman"/>
          <w:b w:val="0"/>
          <w:kern w:val="2"/>
          <w:sz w:val="32"/>
          <w:szCs w:val="32"/>
          <w:highlight w:val="none"/>
          <w:lang w:val="en-US" w:eastAsia="zh-CN" w:bidi="ar-SA"/>
        </w:rPr>
        <w:t>4.负责月泉书院来客接待、讲解等工作。</w:t>
      </w:r>
    </w:p>
    <w:p>
      <w:pPr>
        <w:pStyle w:val="16"/>
        <w:numPr>
          <w:ilvl w:val="0"/>
          <w:numId w:val="0"/>
        </w:numPr>
        <w:bidi w:val="0"/>
        <w:ind w:firstLine="640" w:firstLineChars="200"/>
        <w:rPr>
          <w:rFonts w:hint="default" w:ascii="Times New Roman" w:hAnsi="Times New Roman" w:eastAsia="仿宋_GB2312" w:cs="Times New Roman"/>
          <w:b w:val="0"/>
          <w:kern w:val="2"/>
          <w:sz w:val="32"/>
          <w:szCs w:val="32"/>
          <w:highlight w:val="none"/>
          <w:lang w:val="en-US" w:eastAsia="zh-CN" w:bidi="ar-SA"/>
        </w:rPr>
      </w:pPr>
      <w:r>
        <w:rPr>
          <w:rFonts w:hint="default" w:ascii="Times New Roman" w:hAnsi="Times New Roman" w:eastAsia="仿宋_GB2312" w:cs="Times New Roman"/>
          <w:b w:val="0"/>
          <w:kern w:val="2"/>
          <w:sz w:val="32"/>
          <w:szCs w:val="32"/>
          <w:highlight w:val="none"/>
          <w:lang w:val="en-US" w:eastAsia="zh-CN" w:bidi="ar-SA"/>
        </w:rPr>
        <w:t>5.完成浦江县文联和上级有关部门交办的其他任务。</w:t>
      </w:r>
    </w:p>
    <w:p>
      <w:pPr>
        <w:spacing w:line="52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（二）单位机构设置情况</w:t>
      </w:r>
    </w:p>
    <w:p>
      <w:pPr>
        <w:spacing w:line="520" w:lineRule="exact"/>
        <w:ind w:firstLine="640" w:firstLineChars="200"/>
        <w:rPr>
          <w:rFonts w:hint="default"/>
          <w:highlight w:val="none"/>
        </w:rPr>
      </w:pPr>
      <w:r>
        <w:rPr>
          <w:rFonts w:hint="eastAsia" w:ascii="仿宋_GB2312" w:eastAsia="仿宋_GB2312"/>
          <w:bCs/>
          <w:sz w:val="32"/>
          <w:szCs w:val="32"/>
          <w:highlight w:val="none"/>
        </w:rPr>
        <w:t>从预算单位构成看，浦江县月泉书院管理中心预算包括：</w:t>
      </w:r>
      <w:r>
        <w:rPr>
          <w:rFonts w:hint="default" w:ascii="仿宋_GB2312" w:eastAsia="仿宋_GB2312"/>
          <w:bCs/>
          <w:sz w:val="32"/>
          <w:szCs w:val="32"/>
          <w:highlight w:val="none"/>
        </w:rPr>
        <w:t>本</w:t>
      </w:r>
    </w:p>
    <w:p>
      <w:pPr>
        <w:spacing w:line="520" w:lineRule="exact"/>
        <w:ind w:firstLine="640" w:firstLineChars="200"/>
        <w:rPr>
          <w:rFonts w:ascii="楷体_GB2312" w:hAnsi="楷体_GB2312" w:eastAsia="楷体_GB2312" w:cs="楷体_GB2312"/>
          <w:color w:val="000000"/>
          <w:sz w:val="32"/>
          <w:szCs w:val="32"/>
          <w:highlight w:val="none"/>
        </w:rPr>
      </w:pPr>
      <w:r>
        <w:rPr>
          <w:rStyle w:val="7"/>
          <w:rFonts w:hint="eastAsia" w:ascii="黑体" w:eastAsia="黑体"/>
          <w:b w:val="0"/>
          <w:color w:val="000000"/>
          <w:sz w:val="32"/>
          <w:szCs w:val="32"/>
          <w:highlight w:val="none"/>
        </w:rPr>
        <w:t>二、2024年浦江县月泉书院管理中心单位预算安排情况说明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color w:val="000000"/>
          <w:sz w:val="32"/>
          <w:szCs w:val="32"/>
          <w:highlight w:val="none"/>
        </w:rPr>
        <w:t>（一）关于浦江县月泉书院管理中心</w:t>
      </w:r>
      <w:r>
        <w:rPr>
          <w:rStyle w:val="7"/>
          <w:rFonts w:hint="eastAsia" w:ascii="楷体_GB2312" w:hAnsi="楷体_GB2312" w:eastAsia="楷体_GB2312" w:cs="楷体_GB2312"/>
          <w:b w:val="0"/>
          <w:bCs w:val="0"/>
          <w:color w:val="000000"/>
          <w:sz w:val="32"/>
          <w:szCs w:val="32"/>
          <w:highlight w:val="none"/>
        </w:rPr>
        <w:t>2024年收支预算情况的总体说明</w:t>
      </w:r>
    </w:p>
    <w:p>
      <w:pPr>
        <w:spacing w:line="520" w:lineRule="exact"/>
        <w:ind w:firstLine="640" w:firstLineChars="200"/>
        <w:rPr>
          <w:rFonts w:ascii="楷体_GB2312" w:hAnsi="楷体_GB2312" w:eastAsia="楷体_GB2312" w:cs="楷体_GB2312"/>
          <w:b/>
          <w:color w:val="000000"/>
          <w:sz w:val="32"/>
          <w:szCs w:val="32"/>
          <w:highlight w:val="none"/>
        </w:rPr>
      </w:pPr>
      <w:r>
        <w:rPr>
          <w:rFonts w:hint="eastAsia" w:ascii="仿宋_GB2312" w:eastAsia="仿宋_GB2312"/>
          <w:bCs/>
          <w:color w:val="000000"/>
          <w:sz w:val="32"/>
          <w:szCs w:val="32"/>
          <w:highlight w:val="none"/>
        </w:rPr>
        <w:t xml:space="preserve"> 按照</w:t>
      </w:r>
      <w:r>
        <w:rPr>
          <w:rFonts w:hint="eastAsia" w:ascii="仿宋_GB2312" w:eastAsia="仿宋_GB2312"/>
          <w:bCs/>
          <w:sz w:val="32"/>
          <w:szCs w:val="32"/>
          <w:highlight w:val="none"/>
        </w:rPr>
        <w:t>综合预算的原则，浦江县月泉书院管理中心</w:t>
      </w:r>
      <w:r>
        <w:rPr>
          <w:rFonts w:hint="eastAsia" w:ascii="仿宋_GB2312" w:eastAsia="仿宋_GB2312"/>
          <w:color w:val="000000"/>
          <w:sz w:val="32"/>
          <w:szCs w:val="32"/>
          <w:highlight w:val="none"/>
        </w:rPr>
        <w:t>所有收入和支出均纳入部门预算管理。收入包括：一般公共预算拨款收入；支出包括：文化旅游体育与传媒支出、社会保障和就业支出、卫生健康支出、住房保障支出。浦江县月泉书院管理中心2024年收支总预算164.63万元。</w:t>
      </w:r>
    </w:p>
    <w:p>
      <w:p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（二）关于浦江县月泉书院管理中心2024年收入预算情况说明</w:t>
      </w:r>
    </w:p>
    <w:p>
      <w:pPr>
        <w:spacing w:line="520" w:lineRule="exact"/>
        <w:ind w:firstLine="640" w:firstLineChars="200"/>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浦江县月泉书院管理中心2024年收入预算164.63万元，比上年执行数减少</w:t>
      </w:r>
      <w:r>
        <w:rPr>
          <w:rFonts w:hint="eastAsia" w:ascii="仿宋_GB2312" w:hAnsi="仿宋_GB2312" w:eastAsia="仿宋_GB2312" w:cs="仿宋_GB2312"/>
          <w:color w:val="000000"/>
          <w:sz w:val="32"/>
          <w:szCs w:val="32"/>
          <w:highlight w:val="none"/>
          <w:lang w:val="en-US" w:eastAsia="zh-CN"/>
        </w:rPr>
        <w:t>21.78</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11.68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基本支出减少</w:t>
      </w:r>
      <w:r>
        <w:rPr>
          <w:rFonts w:hint="eastAsia" w:ascii="仿宋_GB2312" w:hAnsi="仿宋_GB2312" w:eastAsia="仿宋_GB2312" w:cs="仿宋_GB2312"/>
          <w:color w:val="000000"/>
          <w:sz w:val="32"/>
          <w:szCs w:val="32"/>
          <w:highlight w:val="none"/>
        </w:rPr>
        <w:t>。</w:t>
      </w:r>
    </w:p>
    <w:p>
      <w:pPr>
        <w:spacing w:line="52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其中：一般公共预算拨款收入</w:t>
      </w:r>
      <w:r>
        <w:rPr>
          <w:rFonts w:ascii="仿宋_GB2312" w:eastAsia="仿宋_GB2312"/>
          <w:color w:val="000000"/>
          <w:sz w:val="32"/>
          <w:szCs w:val="32"/>
          <w:highlight w:val="none"/>
        </w:rPr>
        <w:t>124.63</w:t>
      </w:r>
      <w:r>
        <w:rPr>
          <w:rFonts w:hint="eastAsia" w:ascii="仿宋_GB2312" w:eastAsia="仿宋_GB2312"/>
          <w:color w:val="000000"/>
          <w:sz w:val="32"/>
          <w:szCs w:val="32"/>
          <w:highlight w:val="none"/>
        </w:rPr>
        <w:t>万元（上年结转0.00万元），占75.7%；专户资金40.00万元，占24.3%</w:t>
      </w:r>
      <w:r>
        <w:rPr>
          <w:rFonts w:hint="eastAsia" w:ascii="仿宋_GB2312" w:eastAsia="仿宋_GB2312"/>
          <w:color w:val="000000"/>
          <w:sz w:val="32"/>
          <w:szCs w:val="32"/>
          <w:highlight w:val="none"/>
          <w:lang w:eastAsia="zh-CN"/>
        </w:rPr>
        <w:t>。</w:t>
      </w:r>
    </w:p>
    <w:p>
      <w:pPr>
        <w:spacing w:line="520" w:lineRule="exact"/>
        <w:ind w:firstLine="640" w:firstLineChars="200"/>
        <w:rPr>
          <w:rFonts w:ascii="仿宋_GB2312" w:eastAsia="仿宋_GB2312"/>
          <w:color w:val="000000"/>
          <w:sz w:val="32"/>
          <w:szCs w:val="32"/>
          <w:highlight w:val="none"/>
        </w:rPr>
      </w:pPr>
      <w:r>
        <w:rPr>
          <w:rFonts w:hint="eastAsia" w:ascii="楷体_GB2312" w:hAnsi="楷体_GB2312" w:eastAsia="楷体_GB2312" w:cs="楷体_GB2312"/>
          <w:bCs/>
          <w:color w:val="000000"/>
          <w:sz w:val="32"/>
          <w:szCs w:val="32"/>
          <w:highlight w:val="none"/>
        </w:rPr>
        <w:t>（三）关于浦江县月泉书院管理中心2024年支出预算情况说明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浦江县月泉书院管理中心2024年支出预算164.63万元，比上年执行数减少</w:t>
      </w:r>
      <w:r>
        <w:rPr>
          <w:rFonts w:hint="eastAsia" w:ascii="仿宋_GB2312" w:hAnsi="仿宋_GB2312" w:eastAsia="仿宋_GB2312" w:cs="仿宋_GB2312"/>
          <w:color w:val="000000"/>
          <w:sz w:val="32"/>
          <w:szCs w:val="32"/>
          <w:highlight w:val="none"/>
          <w:lang w:val="en-US" w:eastAsia="zh-CN"/>
        </w:rPr>
        <w:t>21.78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11.68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基本支出减少</w:t>
      </w:r>
      <w:r>
        <w:rPr>
          <w:rFonts w:hint="eastAsia" w:ascii="仿宋_GB2312" w:hAnsi="仿宋_GB2312" w:eastAsia="仿宋_GB2312" w:cs="仿宋_GB2312"/>
          <w:color w:val="000000"/>
          <w:sz w:val="32"/>
          <w:szCs w:val="32"/>
          <w:highlight w:val="none"/>
        </w:rPr>
        <w:t>。</w:t>
      </w:r>
    </w:p>
    <w:p>
      <w:pPr>
        <w:spacing w:line="52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1.按支出功能分类，包括一般文化旅游体育与传媒支出149.45万元、社会保障和就业支出6.74万元、卫生健康支出2.18万元、住房保障支出6.27万元</w:t>
      </w:r>
    </w:p>
    <w:p>
      <w:pPr>
        <w:spacing w:line="52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2.按支出用途分类，包括人员支出57.05万元，占34.7%；日常公用支出5.58万元，占3.4%；项目支出102.00万元，占62.0%。</w:t>
      </w:r>
    </w:p>
    <w:p>
      <w:pPr>
        <w:spacing w:line="52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年终结转结余0.00万元。</w:t>
      </w:r>
    </w:p>
    <w:p>
      <w:p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（四）关于浦江县月泉书院管理中心2024年财政拨款收支预算情况的总体说明</w:t>
      </w:r>
    </w:p>
    <w:p>
      <w:pPr>
        <w:spacing w:line="52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浦江县月泉书院管理中心2024年财政拨款收支总预算124.63万元。收入包括：一般公共预算124.63万元；支出包括：社会保障和就业支出6.74万元、卫生健康支出2.18万元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住房保障支出6.27万元。</w:t>
      </w:r>
    </w:p>
    <w:p>
      <w:pPr>
        <w:numPr>
          <w:ilvl w:val="0"/>
          <w:numId w:val="1"/>
        </w:num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关于浦江县月泉书院管理中心2024年一般公共预算拨款情况说明</w:t>
      </w:r>
    </w:p>
    <w:p>
      <w:pPr>
        <w:spacing w:line="520" w:lineRule="exact"/>
        <w:ind w:firstLine="643" w:firstLineChars="200"/>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1.一般公共预算拨款规模变化情况。</w:t>
      </w:r>
    </w:p>
    <w:p>
      <w:pPr>
        <w:spacing w:line="52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浦江县月泉书院管理中心2024年一般公共预算拨款</w:t>
      </w:r>
      <w:r>
        <w:rPr>
          <w:rFonts w:hint="eastAsia" w:ascii="仿宋_GB2312" w:hAnsi="仿宋_GB2312" w:eastAsia="仿宋_GB2312" w:cs="仿宋_GB2312"/>
          <w:bCs/>
          <w:color w:val="000000"/>
          <w:sz w:val="32"/>
          <w:szCs w:val="32"/>
          <w:highlight w:val="none"/>
        </w:rPr>
        <w:t>124.63</w:t>
      </w:r>
      <w:r>
        <w:rPr>
          <w:rFonts w:hint="eastAsia" w:ascii="仿宋_GB2312" w:hAnsi="仿宋_GB2312" w:eastAsia="仿宋_GB2312" w:cs="仿宋_GB2312"/>
          <w:color w:val="000000"/>
          <w:sz w:val="32"/>
          <w:szCs w:val="32"/>
          <w:highlight w:val="none"/>
        </w:rPr>
        <w:t>万元，比上年执行数减少</w:t>
      </w:r>
      <w:r>
        <w:rPr>
          <w:rFonts w:hint="eastAsia" w:ascii="仿宋_GB2312" w:hAnsi="仿宋_GB2312" w:eastAsia="仿宋_GB2312" w:cs="仿宋_GB2312"/>
          <w:color w:val="000000"/>
          <w:sz w:val="32"/>
          <w:szCs w:val="32"/>
          <w:highlight w:val="none"/>
          <w:lang w:val="en-US" w:eastAsia="zh-CN"/>
        </w:rPr>
        <w:t>21.78</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11.68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月泉书院消防自动化工程完工</w:t>
      </w:r>
      <w:r>
        <w:rPr>
          <w:rFonts w:hint="eastAsia" w:ascii="仿宋_GB2312" w:hAnsi="仿宋_GB2312" w:eastAsia="仿宋_GB2312" w:cs="仿宋_GB2312"/>
          <w:color w:val="000000"/>
          <w:sz w:val="32"/>
          <w:szCs w:val="32"/>
          <w:highlight w:val="none"/>
        </w:rPr>
        <w:t>。</w:t>
      </w:r>
    </w:p>
    <w:p>
      <w:pPr>
        <w:spacing w:line="520" w:lineRule="exact"/>
        <w:ind w:firstLine="643" w:firstLineChars="200"/>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2.一般公共预算拨款结构情况。</w:t>
      </w:r>
    </w:p>
    <w:p>
      <w:pPr>
        <w:spacing w:line="520" w:lineRule="exact"/>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文化旅游体育与传媒支出109.45万元，占87.8%；社会保障和就业支出6.74万元，占5.4%；卫生健康支出2.18万元，占1.7%；住房保障支出6.27万元，占5.0%</w:t>
      </w:r>
      <w:r>
        <w:rPr>
          <w:rFonts w:hint="eastAsia" w:ascii="仿宋_GB2312" w:hAnsi="仿宋_GB2312" w:eastAsia="仿宋_GB2312" w:cs="仿宋_GB2312"/>
          <w:color w:val="000000"/>
          <w:sz w:val="32"/>
          <w:szCs w:val="32"/>
          <w:highlight w:val="none"/>
          <w:lang w:eastAsia="zh-CN"/>
        </w:rPr>
        <w:t>。</w:t>
      </w:r>
    </w:p>
    <w:p>
      <w:pPr>
        <w:spacing w:line="52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b/>
          <w:color w:val="000000"/>
          <w:sz w:val="32"/>
          <w:szCs w:val="32"/>
          <w:highlight w:val="none"/>
        </w:rPr>
        <w:t>一般公共预算拨款具体使用情况。</w:t>
      </w:r>
    </w:p>
    <w:p>
      <w:pPr>
        <w:spacing w:line="520" w:lineRule="exact"/>
        <w:ind w:left="477" w:leftChars="227"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）2070111文化旅游体育与传媒支出（类）文化和旅游（款）文化创作与保护（项）</w:t>
      </w:r>
      <w:r>
        <w:rPr>
          <w:rFonts w:hint="eastAsia" w:ascii="仿宋_GB2312" w:hAnsi="仿宋_GB2312" w:eastAsia="仿宋_GB2312" w:cs="仿宋_GB2312"/>
          <w:color w:val="000000"/>
          <w:sz w:val="32"/>
          <w:szCs w:val="32"/>
          <w:highlight w:val="none"/>
          <w:lang w:val="en-US" w:eastAsia="zh-CN"/>
        </w:rPr>
        <w:t>149.45</w:t>
      </w:r>
      <w:r>
        <w:rPr>
          <w:rFonts w:hint="eastAsia" w:ascii="仿宋_GB2312" w:hAnsi="仿宋_GB2312" w:eastAsia="仿宋_GB2312" w:cs="仿宋_GB2312"/>
          <w:color w:val="000000"/>
          <w:sz w:val="32"/>
          <w:szCs w:val="32"/>
          <w:highlight w:val="none"/>
        </w:rPr>
        <w:t>万元，主要用于要用于办公费、邮电费、印刷费、工会经费、劳务费、会议费、差旅费、工资福利支出、对企事业的补贴、资本性支出等。</w:t>
      </w:r>
    </w:p>
    <w:p>
      <w:pPr>
        <w:spacing w:line="520" w:lineRule="exact"/>
        <w:ind w:left="477" w:leftChars="227"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）2080505社会保障和就业支出（类）行政事业单位养老支出（款）机关事业单位基本养老保险缴费支出（项）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4.35</w:t>
      </w:r>
      <w:r>
        <w:rPr>
          <w:rFonts w:hint="eastAsia" w:ascii="仿宋_GB2312" w:hAnsi="仿宋_GB2312" w:eastAsia="仿宋_GB2312" w:cs="仿宋_GB2312"/>
          <w:color w:val="000000"/>
          <w:sz w:val="32"/>
          <w:szCs w:val="32"/>
          <w:highlight w:val="none"/>
        </w:rPr>
        <w:t>万元，主要用于单位职工养老金支出。</w:t>
      </w:r>
    </w:p>
    <w:p>
      <w:pPr>
        <w:spacing w:line="520" w:lineRule="exact"/>
        <w:ind w:left="477" w:leftChars="227"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）2080506社会保障和就业支出（类）行政事业单位养老支出（款）机关事业单位职业年金缴费支出（项）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2.17</w:t>
      </w:r>
      <w:r>
        <w:rPr>
          <w:rFonts w:hint="eastAsia" w:ascii="仿宋_GB2312" w:hAnsi="仿宋_GB2312" w:eastAsia="仿宋_GB2312" w:cs="仿宋_GB2312"/>
          <w:color w:val="000000"/>
          <w:sz w:val="32"/>
          <w:szCs w:val="32"/>
          <w:highlight w:val="none"/>
        </w:rPr>
        <w:t>万元，主要用于单位职工职业年金支出。</w:t>
      </w:r>
    </w:p>
    <w:p>
      <w:pPr>
        <w:spacing w:line="520" w:lineRule="exact"/>
        <w:ind w:left="477" w:leftChars="227"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）2089999社会保障和就业支出（类）其他社会保障和就业支出（款）其他社会保障和就业支出（项）</w:t>
      </w:r>
      <w:r>
        <w:rPr>
          <w:rFonts w:hint="eastAsia" w:ascii="仿宋_GB2312" w:hAnsi="仿宋_GB2312" w:eastAsia="仿宋_GB2312" w:cs="仿宋_GB2312"/>
          <w:color w:val="000000"/>
          <w:sz w:val="32"/>
          <w:szCs w:val="32"/>
          <w:highlight w:val="none"/>
          <w:lang w:val="en-US" w:eastAsia="zh-CN"/>
        </w:rPr>
        <w:t>0.21</w:t>
      </w:r>
      <w:r>
        <w:rPr>
          <w:rFonts w:hint="eastAsia" w:ascii="仿宋_GB2312" w:hAnsi="仿宋_GB2312" w:eastAsia="仿宋_GB2312" w:cs="仿宋_GB2312"/>
          <w:color w:val="000000"/>
          <w:sz w:val="32"/>
          <w:szCs w:val="32"/>
          <w:highlight w:val="none"/>
        </w:rPr>
        <w:t>万元，主要用于单位职工失业险、工伤险等其他社会保障和就业支出。</w:t>
      </w:r>
    </w:p>
    <w:p>
      <w:pPr>
        <w:spacing w:line="520" w:lineRule="exact"/>
        <w:ind w:left="477" w:leftChars="227"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）2101102卫生健康支出（类）行政事业单位医疗（款）事业单位医疗（项）</w:t>
      </w:r>
      <w:r>
        <w:rPr>
          <w:rFonts w:hint="eastAsia" w:ascii="仿宋_GB2312" w:hAnsi="仿宋_GB2312" w:eastAsia="仿宋_GB2312" w:cs="仿宋_GB2312"/>
          <w:color w:val="000000"/>
          <w:sz w:val="32"/>
          <w:szCs w:val="32"/>
          <w:highlight w:val="none"/>
          <w:lang w:val="en-US" w:eastAsia="zh-CN"/>
        </w:rPr>
        <w:t>2.18</w:t>
      </w:r>
      <w:r>
        <w:rPr>
          <w:rFonts w:hint="eastAsia" w:ascii="仿宋_GB2312" w:hAnsi="仿宋_GB2312" w:eastAsia="仿宋_GB2312" w:cs="仿宋_GB2312"/>
          <w:color w:val="000000"/>
          <w:sz w:val="32"/>
          <w:szCs w:val="32"/>
          <w:highlight w:val="none"/>
        </w:rPr>
        <w:t>万元，主要用于单位职工医保支出。</w:t>
      </w:r>
    </w:p>
    <w:p>
      <w:pPr>
        <w:spacing w:line="520" w:lineRule="exact"/>
        <w:ind w:left="477" w:leftChars="227" w:firstLine="640" w:firstLineChars="200"/>
        <w:rPr>
          <w:rFonts w:hint="eastAsia" w:ascii="仿宋_GB2312" w:hAnsi="仿宋_GB2312" w:eastAsia="仿宋_GB2312" w:cs="仿宋_GB2312"/>
          <w:bCs/>
          <w:color w:val="000000"/>
          <w:sz w:val="32"/>
          <w:szCs w:val="32"/>
          <w:highlight w:val="none"/>
        </w:rPr>
      </w:pP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）2210201住房保障支出（类）住房改革支出（款）住房公积金（项）</w:t>
      </w:r>
      <w:r>
        <w:rPr>
          <w:rFonts w:hint="eastAsia" w:ascii="仿宋_GB2312" w:hAnsi="仿宋_GB2312" w:eastAsia="仿宋_GB2312" w:cs="仿宋_GB2312"/>
          <w:color w:val="000000"/>
          <w:sz w:val="32"/>
          <w:szCs w:val="32"/>
          <w:highlight w:val="none"/>
          <w:lang w:val="en-US" w:eastAsia="zh-CN"/>
        </w:rPr>
        <w:t>6.27</w:t>
      </w:r>
      <w:r>
        <w:rPr>
          <w:rFonts w:hint="eastAsia" w:ascii="仿宋_GB2312" w:hAnsi="仿宋_GB2312" w:eastAsia="仿宋_GB2312" w:cs="仿宋_GB2312"/>
          <w:color w:val="000000"/>
          <w:sz w:val="32"/>
          <w:szCs w:val="32"/>
          <w:highlight w:val="none"/>
        </w:rPr>
        <w:t>万元，主要用于单位职工住房公积金支出。</w:t>
      </w:r>
    </w:p>
    <w:p>
      <w:p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 xml:space="preserve">    （六）关于浦江县月泉书院管理中心2024年一般公共预算基本支出情况说明</w:t>
      </w:r>
    </w:p>
    <w:p>
      <w:pPr>
        <w:spacing w:line="52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浦江县月泉书院管理中心2024年一般公共预算基本支出62.63万元，其中：</w:t>
      </w:r>
    </w:p>
    <w:p>
      <w:pPr>
        <w:spacing w:line="52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人员经费57.05万元，主要包括：基本工资</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奖金</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绩效工资</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机关事业单位基本养老保险缴费</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职业年金缴费</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职工基本医疗保险缴费</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其他社会保障缴费</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住房公积金</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其他工资福利支出</w:t>
      </w:r>
      <w:r>
        <w:rPr>
          <w:rFonts w:hint="eastAsia" w:ascii="仿宋_GB2312" w:eastAsia="仿宋_GB2312"/>
          <w:color w:val="000000"/>
          <w:sz w:val="32"/>
          <w:szCs w:val="32"/>
          <w:highlight w:val="none"/>
          <w:lang w:eastAsia="zh-CN"/>
        </w:rPr>
        <w:t>。</w:t>
      </w:r>
    </w:p>
    <w:p>
      <w:pPr>
        <w:spacing w:line="52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公用经费5.58万元，主要包括：办公费、差旅费、培训费、福利费、其他商品和服务支出。</w:t>
      </w:r>
    </w:p>
    <w:p>
      <w:p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（七）关于浦江县月泉书院管理中心2024年政府性基金预算支出情况说明</w:t>
      </w:r>
    </w:p>
    <w:p>
      <w:pPr>
        <w:spacing w:line="520" w:lineRule="exact"/>
        <w:ind w:firstLine="640" w:firstLineChars="200"/>
        <w:rPr>
          <w:rFonts w:hint="eastAsia" w:ascii="仿宋_GB2312" w:eastAsia="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浦江县月泉书院管理中心2024年没有使用政府性基金预算拨款安排的支出</w:t>
      </w:r>
      <w:r>
        <w:rPr>
          <w:rFonts w:hint="eastAsia" w:ascii="仿宋_GB2312" w:eastAsia="仿宋_GB2312"/>
          <w:color w:val="000000"/>
          <w:sz w:val="32"/>
          <w:szCs w:val="32"/>
          <w:highlight w:val="none"/>
        </w:rPr>
        <w:t>，与上年持平</w:t>
      </w:r>
      <w:r>
        <w:rPr>
          <w:rFonts w:hint="eastAsia" w:ascii="仿宋_GB2312" w:eastAsia="仿宋_GB2312"/>
          <w:color w:val="000000"/>
          <w:sz w:val="32"/>
          <w:szCs w:val="32"/>
          <w:highlight w:val="none"/>
          <w:lang w:eastAsia="zh-CN"/>
        </w:rPr>
        <w:t>。</w:t>
      </w:r>
    </w:p>
    <w:p>
      <w:pPr>
        <w:pStyle w:val="10"/>
        <w:rPr>
          <w:rFonts w:hint="eastAsia"/>
          <w:highlight w:val="none"/>
          <w:lang w:eastAsia="zh-CN"/>
        </w:rPr>
      </w:pPr>
    </w:p>
    <w:p>
      <w:pPr>
        <w:pStyle w:val="10"/>
        <w:numPr>
          <w:ilvl w:val="0"/>
          <w:numId w:val="0"/>
        </w:numPr>
        <w:ind w:left="963" w:leftChars="0"/>
        <w:rPr>
          <w:highlight w:val="none"/>
        </w:rPr>
      </w:pPr>
    </w:p>
    <w:p>
      <w:p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浦江县月泉书院管理中心</w:t>
      </w:r>
      <w:r>
        <w:rPr>
          <w:rFonts w:hint="eastAsia" w:ascii="楷体_GB2312" w:hAnsi="楷体_GB2312" w:eastAsia="楷体_GB2312" w:cs="楷体_GB2312"/>
          <w:bCs/>
          <w:color w:val="000000"/>
          <w:sz w:val="32"/>
          <w:szCs w:val="32"/>
          <w:highlight w:val="none"/>
        </w:rPr>
        <w:t>国有资本经营预算支出情况说明</w:t>
      </w:r>
    </w:p>
    <w:p>
      <w:pPr>
        <w:spacing w:line="520" w:lineRule="exact"/>
        <w:ind w:left="477" w:leftChars="227" w:firstLine="640" w:firstLineChars="200"/>
        <w:rPr>
          <w:b/>
          <w:sz w:val="20"/>
          <w:highlight w:val="none"/>
        </w:rPr>
      </w:pPr>
      <w:r>
        <w:rPr>
          <w:rFonts w:hint="eastAsia" w:ascii="仿宋_GB2312" w:hAnsi="仿宋_GB2312" w:eastAsia="仿宋_GB2312" w:cs="仿宋_GB2312"/>
          <w:color w:val="000000"/>
          <w:sz w:val="32"/>
          <w:szCs w:val="32"/>
          <w:highlight w:val="none"/>
        </w:rPr>
        <w:t>浦江县月泉书院管理中心2024年没有使用国有资本经营预算拨款安排的支出，与上年持平。</w:t>
      </w:r>
    </w:p>
    <w:p>
      <w:pPr>
        <w:spacing w:line="520" w:lineRule="exact"/>
        <w:ind w:firstLine="640" w:firstLineChars="20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（九）关于浦江县月泉书院管理中心2024年</w:t>
      </w:r>
      <w:r>
        <w:rPr>
          <w:rFonts w:hint="eastAsia" w:ascii="楷体_GB2312" w:hAnsi="楷体_GB2312" w:eastAsia="楷体_GB2312" w:cs="楷体_GB2312"/>
          <w:bCs/>
          <w:sz w:val="32"/>
          <w:szCs w:val="32"/>
          <w:highlight w:val="none"/>
        </w:rPr>
        <w:t>一般公共预算</w:t>
      </w:r>
      <w:r>
        <w:rPr>
          <w:rFonts w:hint="eastAsia" w:ascii="楷体_GB2312" w:hAnsi="楷体_GB2312" w:eastAsia="楷体_GB2312" w:cs="楷体_GB2312"/>
          <w:bCs/>
          <w:color w:val="000000"/>
          <w:sz w:val="32"/>
          <w:szCs w:val="32"/>
          <w:highlight w:val="none"/>
        </w:rPr>
        <w:t>“三公”经费预算情况说明</w:t>
      </w:r>
    </w:p>
    <w:p>
      <w:pPr>
        <w:spacing w:line="520" w:lineRule="exact"/>
        <w:ind w:firstLine="640" w:firstLineChars="200"/>
        <w:rPr>
          <w:rFonts w:ascii="仿宋_GB2312" w:hAnsi="仿宋_GB2312" w:eastAsia="仿宋_GB2312"/>
          <w:sz w:val="32"/>
          <w:highlight w:val="none"/>
        </w:rPr>
      </w:pPr>
      <w:r>
        <w:rPr>
          <w:rFonts w:hint="eastAsia" w:ascii="仿宋_GB2312" w:hAnsi="仿宋_GB2312" w:eastAsia="仿宋_GB2312"/>
          <w:sz w:val="32"/>
          <w:highlight w:val="none"/>
        </w:rPr>
        <w:t>浦江县月泉书院管理中心2024年“三公”经费预算数为1.00万元，</w:t>
      </w:r>
      <w:r>
        <w:rPr>
          <w:rFonts w:hint="eastAsia" w:ascii="仿宋_GB2312" w:hAnsi="仿宋_GB2312" w:eastAsia="仿宋_GB2312"/>
          <w:sz w:val="32"/>
          <w:highlight w:val="none"/>
          <w:shd w:val="clear" w:color="auto" w:fill="FFFFFF"/>
        </w:rPr>
        <w:t>比上年预算数增加</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shd w:val="clear" w:color="auto" w:fill="FFFFFF"/>
        </w:rPr>
        <w:t>万元，增长</w:t>
      </w:r>
      <w:r>
        <w:rPr>
          <w:rFonts w:hint="eastAsia" w:ascii="仿宋_GB2312" w:hAnsi="仿宋_GB2312" w:eastAsia="仿宋_GB2312"/>
          <w:sz w:val="32"/>
          <w:highlight w:val="none"/>
          <w:shd w:val="clear" w:color="auto" w:fill="FFFFFF"/>
          <w:lang w:val="en-US" w:eastAsia="zh-CN"/>
        </w:rPr>
        <w:t>0</w:t>
      </w:r>
      <w:r>
        <w:rPr>
          <w:rFonts w:hint="eastAsia" w:ascii="仿宋_GB2312" w:hAnsi="仿宋_GB2312" w:eastAsia="仿宋_GB2312"/>
          <w:sz w:val="32"/>
          <w:highlight w:val="none"/>
          <w:shd w:val="clear" w:color="auto" w:fill="FFFFFF"/>
        </w:rPr>
        <w:t>%</w:t>
      </w:r>
      <w:r>
        <w:rPr>
          <w:rFonts w:hint="eastAsia" w:ascii="仿宋_GB2312" w:hAnsi="仿宋_GB2312" w:eastAsia="仿宋_GB2312"/>
          <w:sz w:val="32"/>
          <w:highlight w:val="none"/>
        </w:rPr>
        <w:t>，具体如下：</w:t>
      </w:r>
    </w:p>
    <w:p>
      <w:pPr>
        <w:spacing w:line="52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1.因公出国（境）费用：</w:t>
      </w:r>
      <w:r>
        <w:rPr>
          <w:rFonts w:hint="eastAsia" w:ascii="仿宋_GB2312" w:hAnsi="仿宋_GB2312" w:eastAsia="仿宋_GB2312" w:cs="仿宋_GB2312"/>
          <w:sz w:val="32"/>
          <w:szCs w:val="32"/>
          <w:highlight w:val="none"/>
        </w:rPr>
        <w:t>根据因公出国计划和实际工作需要，2024年安排因公出国（境）费用预算0.00万元，比上年预算数</w:t>
      </w:r>
      <w:r>
        <w:rPr>
          <w:rFonts w:hint="eastAsia" w:ascii="仿宋_GB2312" w:hAnsi="仿宋_GB2312" w:eastAsia="仿宋_GB2312"/>
          <w:sz w:val="32"/>
          <w:highlight w:val="none"/>
          <w:shd w:val="clear" w:color="auto" w:fill="FFFFFF"/>
        </w:rPr>
        <w:t>增加</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shd w:val="clear" w:color="auto" w:fill="FFFFFF"/>
        </w:rPr>
        <w:t>万元，</w:t>
      </w:r>
      <w:r>
        <w:rPr>
          <w:rFonts w:hint="eastAsia" w:ascii="仿宋_GB2312" w:hAnsi="仿宋_GB2312" w:eastAsia="仿宋_GB2312" w:cs="仿宋_GB2312"/>
          <w:sz w:val="32"/>
          <w:szCs w:val="32"/>
          <w:highlight w:val="none"/>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%。主要用于机关及下属预算单位人员的……等公务出国（境）的国际旅费、国外城市间交通费、住宿费、伙食费、培训费、公杂费等支出。增加的主要原因是</w:t>
      </w:r>
      <w:r>
        <w:rPr>
          <w:rFonts w:hint="eastAsia" w:ascii="仿宋_GB2312" w:hAnsi="仿宋_GB2312" w:eastAsia="仿宋_GB2312" w:cs="仿宋_GB2312"/>
          <w:sz w:val="32"/>
          <w:szCs w:val="32"/>
          <w:highlight w:val="none"/>
          <w:lang w:eastAsia="zh-CN"/>
        </w:rPr>
        <w:t>无因</w:t>
      </w:r>
      <w:r>
        <w:rPr>
          <w:rFonts w:hint="eastAsia" w:ascii="仿宋_GB2312" w:hAnsi="仿宋_GB2312" w:eastAsia="仿宋_GB2312" w:cs="仿宋_GB2312"/>
          <w:kern w:val="0"/>
          <w:sz w:val="32"/>
          <w:szCs w:val="32"/>
          <w:highlight w:val="none"/>
        </w:rPr>
        <w:t>公出国（境）费用</w:t>
      </w:r>
      <w:r>
        <w:rPr>
          <w:rFonts w:hint="eastAsia" w:ascii="仿宋_GB2312" w:hAnsi="仿宋_GB2312" w:eastAsia="仿宋_GB2312" w:cs="仿宋_GB2312"/>
          <w:sz w:val="32"/>
          <w:szCs w:val="32"/>
          <w:highlight w:val="none"/>
        </w:rPr>
        <w:t>。</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2.公务接待费：2024年安排公务接待费预算1.00万元，比上年预算数</w:t>
      </w:r>
      <w:r>
        <w:rPr>
          <w:rFonts w:hint="eastAsia" w:ascii="仿宋_GB2312" w:hAnsi="仿宋_GB2312" w:eastAsia="仿宋_GB2312"/>
          <w:sz w:val="32"/>
          <w:highlight w:val="none"/>
          <w:shd w:val="clear" w:color="auto" w:fill="FFFFFF"/>
        </w:rPr>
        <w:t>增加</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shd w:val="clear" w:color="auto" w:fill="FFFFFF"/>
        </w:rPr>
        <w:t>万元，</w:t>
      </w:r>
      <w:r>
        <w:rPr>
          <w:rFonts w:hint="eastAsia" w:ascii="仿宋_GB2312" w:hAnsi="仿宋_GB2312" w:eastAsia="仿宋_GB2312" w:cs="仿宋_GB2312"/>
          <w:sz w:val="32"/>
          <w:szCs w:val="32"/>
          <w:highlight w:val="none"/>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highlight w:val="none"/>
          <w:lang w:eastAsia="zh-CN"/>
        </w:rPr>
        <w:t>公务接待</w:t>
      </w:r>
      <w:r>
        <w:rPr>
          <w:rFonts w:hint="eastAsia" w:ascii="仿宋_GB2312" w:hAnsi="仿宋_GB2312" w:eastAsia="仿宋_GB2312" w:cs="仿宋_GB2312"/>
          <w:sz w:val="32"/>
          <w:szCs w:val="32"/>
          <w:highlight w:val="none"/>
        </w:rPr>
        <w:t>等支出。增加的主要原因是</w:t>
      </w:r>
      <w:r>
        <w:rPr>
          <w:rFonts w:hint="eastAsia" w:ascii="仿宋_GB2312" w:hAnsi="仿宋_GB2312" w:eastAsia="仿宋_GB2312" w:cs="仿宋_GB2312"/>
          <w:sz w:val="32"/>
          <w:szCs w:val="32"/>
          <w:highlight w:val="none"/>
          <w:lang w:eastAsia="zh-CN"/>
        </w:rPr>
        <w:t>：与上年持平</w:t>
      </w:r>
      <w:r>
        <w:rPr>
          <w:rFonts w:hint="eastAsia" w:ascii="仿宋_GB2312" w:hAnsi="仿宋_GB2312" w:eastAsia="仿宋_GB2312" w:cs="仿宋_GB2312"/>
          <w:sz w:val="32"/>
          <w:szCs w:val="32"/>
          <w:highlight w:val="none"/>
        </w:rPr>
        <w:t>。</w:t>
      </w:r>
    </w:p>
    <w:p>
      <w:pPr>
        <w:pStyle w:val="15"/>
        <w:spacing w:line="520" w:lineRule="exact"/>
        <w:ind w:firstLine="640" w:firstLineChars="200"/>
        <w:rPr>
          <w:rFonts w:ascii="仿宋_GB2312" w:eastAsia="仿宋_GB2312"/>
          <w:b/>
          <w:bCs/>
          <w:sz w:val="32"/>
          <w:szCs w:val="32"/>
          <w:highlight w:val="none"/>
        </w:rPr>
      </w:pPr>
      <w:r>
        <w:rPr>
          <w:rFonts w:hint="eastAsia" w:ascii="仿宋_GB2312" w:eastAsia="仿宋_GB2312"/>
          <w:sz w:val="32"/>
          <w:szCs w:val="32"/>
          <w:highlight w:val="none"/>
        </w:rPr>
        <w:t>3.公务用车购置及运行维护费：2024年安排公务用车购置及运行维护费预算0.00万元，比上年预算数</w:t>
      </w:r>
      <w:r>
        <w:rPr>
          <w:rFonts w:hint="eastAsia" w:ascii="仿宋_GB2312" w:hAnsi="仿宋_GB2312" w:eastAsia="仿宋_GB2312"/>
          <w:sz w:val="32"/>
          <w:highlight w:val="none"/>
          <w:shd w:val="clear" w:color="auto" w:fill="FFFFFF"/>
        </w:rPr>
        <w:t>增加</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shd w:val="clear" w:color="auto" w:fill="FFFFFF"/>
        </w:rPr>
        <w:t>万元，</w:t>
      </w:r>
      <w:r>
        <w:rPr>
          <w:rFonts w:hint="eastAsia" w:ascii="仿宋_GB2312" w:eastAsia="仿宋_GB2312"/>
          <w:sz w:val="32"/>
          <w:szCs w:val="32"/>
          <w:highlight w:val="none"/>
        </w:rPr>
        <w:t>增长</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%。其中，公务用车购置支出0.00万元（含购置税等附加费用），主要用于经批准购置的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辆公务用车，比上年预算数增加</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%，主要原因是</w:t>
      </w:r>
      <w:r>
        <w:rPr>
          <w:rFonts w:hint="eastAsia" w:ascii="仿宋_GB2312" w:eastAsia="仿宋_GB2312"/>
          <w:sz w:val="32"/>
          <w:szCs w:val="32"/>
          <w:highlight w:val="none"/>
          <w:lang w:eastAsia="zh-CN"/>
        </w:rPr>
        <w:t>无公务用车</w:t>
      </w:r>
      <w:r>
        <w:rPr>
          <w:rFonts w:hint="eastAsia" w:ascii="仿宋_GB2312" w:eastAsia="仿宋_GB2312"/>
          <w:sz w:val="32"/>
          <w:szCs w:val="32"/>
          <w:highlight w:val="none"/>
        </w:rPr>
        <w:t>；公务用车运行维护费支出0.00万元，主要用于公务用车燃料费、维修费、过桥过路费、保险费、安全奖励费用等支出。比上年预算数增加</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%，主要原因是</w:t>
      </w:r>
      <w:r>
        <w:rPr>
          <w:rFonts w:hint="eastAsia" w:ascii="仿宋_GB2312" w:eastAsia="仿宋_GB2312"/>
          <w:sz w:val="32"/>
          <w:szCs w:val="32"/>
          <w:highlight w:val="none"/>
          <w:lang w:eastAsia="zh-CN"/>
        </w:rPr>
        <w:t>无公务用车</w:t>
      </w:r>
      <w:r>
        <w:rPr>
          <w:rFonts w:hint="eastAsia" w:ascii="仿宋_GB2312" w:eastAsia="仿宋_GB2312"/>
          <w:sz w:val="32"/>
          <w:szCs w:val="32"/>
          <w:highlight w:val="none"/>
        </w:rPr>
        <w:t>。</w:t>
      </w:r>
    </w:p>
    <w:p>
      <w:pPr>
        <w:spacing w:line="520" w:lineRule="exact"/>
        <w:ind w:firstLine="640" w:firstLineChars="200"/>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5"/>
        <w:numPr>
          <w:ilvl w:val="0"/>
          <w:numId w:val="0"/>
        </w:numPr>
        <w:spacing w:line="520" w:lineRule="exact"/>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lang w:val="en-US" w:eastAsia="zh-CN"/>
        </w:rPr>
        <w:t>1.</w:t>
      </w:r>
      <w:r>
        <w:rPr>
          <w:rFonts w:hint="eastAsia" w:ascii="仿宋_GB2312" w:eastAsia="仿宋_GB2312"/>
          <w:b/>
          <w:bCs/>
          <w:sz w:val="32"/>
          <w:szCs w:val="32"/>
          <w:highlight w:val="none"/>
        </w:rPr>
        <w:t>政府采购情况。</w:t>
      </w:r>
    </w:p>
    <w:p>
      <w:pPr>
        <w:pStyle w:val="15"/>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2024年浦江县月泉书院管理中心</w:t>
      </w:r>
      <w:r>
        <w:rPr>
          <w:rFonts w:hint="eastAsia" w:ascii="仿宋_GB2312" w:eastAsia="仿宋_GB2312"/>
          <w:color w:val="000000"/>
          <w:sz w:val="32"/>
          <w:szCs w:val="32"/>
          <w:highlight w:val="none"/>
        </w:rPr>
        <w:t>各单位政府采购预算总额</w:t>
      </w:r>
      <w:r>
        <w:rPr>
          <w:rFonts w:ascii="仿宋_GB2312" w:eastAsia="仿宋_GB2312"/>
          <w:color w:val="000000"/>
          <w:sz w:val="32"/>
          <w:szCs w:val="32"/>
          <w:highlight w:val="none"/>
        </w:rPr>
        <w:t>36.50</w:t>
      </w:r>
      <w:r>
        <w:rPr>
          <w:rFonts w:hint="eastAsia" w:ascii="仿宋_GB2312" w:eastAsia="仿宋_GB2312"/>
          <w:color w:val="000000"/>
          <w:sz w:val="32"/>
          <w:szCs w:val="32"/>
          <w:highlight w:val="none"/>
        </w:rPr>
        <w:t>万元，其中：政府采购货物预算1.50万元、政府采购工程预算0.00万元、政府采购服务预算</w:t>
      </w:r>
      <w:r>
        <w:rPr>
          <w:rFonts w:ascii="仿宋_GB2312" w:eastAsia="仿宋_GB2312"/>
          <w:color w:val="000000"/>
          <w:sz w:val="32"/>
          <w:szCs w:val="32"/>
          <w:highlight w:val="none"/>
        </w:rPr>
        <w:t>35.00</w:t>
      </w:r>
      <w:r>
        <w:rPr>
          <w:rFonts w:hint="eastAsia" w:ascii="仿宋_GB2312" w:eastAsia="仿宋_GB2312"/>
          <w:color w:val="000000"/>
          <w:sz w:val="32"/>
          <w:szCs w:val="32"/>
          <w:highlight w:val="none"/>
        </w:rPr>
        <w:t>万元。</w:t>
      </w:r>
    </w:p>
    <w:p>
      <w:pPr>
        <w:pStyle w:val="15"/>
        <w:spacing w:line="52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3.国有资产占有使用情况。</w:t>
      </w:r>
    </w:p>
    <w:p>
      <w:pPr>
        <w:spacing w:line="520" w:lineRule="exact"/>
        <w:ind w:firstLine="664" w:firstLineChars="200"/>
        <w:rPr>
          <w:rFonts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highlight w:val="none"/>
        </w:rPr>
        <w:t>截至2023年12月31日，所属各预算单位共有车辆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辆，其中，应急保障用车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辆、老干部服务用车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辆、行政执法专用车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 xml:space="preserve">台（套）。 </w:t>
      </w:r>
    </w:p>
    <w:p>
      <w:pPr>
        <w:spacing w:line="52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2024年部门预算安排购置车辆</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辆，其中，应急保障用车</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辆、特种专业技术用车XX辆、老干部服务用车</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辆、行政执法专用车</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辆。2024年部门预算安排购置单位价值50万元以上通用设备</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台（套）。（或2024年部门预算未安排购置车辆、单位价值50万元以上通用设备及单位价值100万元以上专用设备）</w:t>
      </w:r>
      <w:r>
        <w:rPr>
          <w:rFonts w:hint="eastAsia" w:ascii="仿宋_GB2312" w:hAnsi="仿宋_GB2312" w:eastAsia="仿宋_GB2312" w:cs="仿宋_GB2312"/>
          <w:sz w:val="32"/>
          <w:szCs w:val="32"/>
          <w:highlight w:val="none"/>
        </w:rPr>
        <w:t>。</w:t>
      </w:r>
    </w:p>
    <w:p>
      <w:pPr>
        <w:pStyle w:val="15"/>
        <w:spacing w:line="520" w:lineRule="exact"/>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rPr>
        <w:t xml:space="preserve">    4.预算绩效情况说明。</w:t>
      </w:r>
    </w:p>
    <w:p>
      <w:pPr>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2024年浦江县月泉书院管理中心其他运转类项目和特定目标类项目均实行绩效目标管理，共计1个一级项目，涉及当年资金102.00万元。同时，将按照相关制度规定开展绩效自评。一级项目绩效目标表，详见“</w:t>
      </w:r>
      <w:r>
        <w:rPr>
          <w:rFonts w:hint="eastAsia" w:ascii="仿宋_GB2312" w:hAnsi="仿宋_GB2312" w:eastAsia="仿宋_GB2312" w:cs="仿宋_GB2312"/>
          <w:sz w:val="32"/>
          <w:szCs w:val="32"/>
          <w:highlight w:val="none"/>
        </w:rPr>
        <w:t>单位</w:t>
      </w:r>
      <w:r>
        <w:rPr>
          <w:rFonts w:ascii="仿宋_GB2312" w:hAnsi="仿宋_GB2312" w:eastAsia="仿宋_GB2312" w:cs="仿宋_GB2312"/>
          <w:sz w:val="32"/>
          <w:szCs w:val="32"/>
          <w:highlight w:val="none"/>
        </w:rPr>
        <w:t>项目支出绩效表”</w:t>
      </w:r>
      <w:r>
        <w:rPr>
          <w:rFonts w:hint="eastAsia" w:ascii="仿宋_GB2312" w:hAnsi="仿宋_GB2312" w:eastAsia="仿宋_GB2312" w:cs="仿宋_GB2312"/>
          <w:sz w:val="32"/>
          <w:szCs w:val="32"/>
          <w:highlight w:val="none"/>
        </w:rPr>
        <w:t>。</w:t>
      </w:r>
    </w:p>
    <w:p>
      <w:pPr>
        <w:pStyle w:val="15"/>
        <w:spacing w:line="520" w:lineRule="exact"/>
        <w:ind w:firstLine="640" w:firstLineChars="200"/>
        <w:rPr>
          <w:rFonts w:ascii="黑体" w:hAnsi="黑体" w:eastAsia="黑体" w:cs="黑体"/>
          <w:bCs/>
          <w:kern w:val="2"/>
          <w:sz w:val="32"/>
          <w:szCs w:val="32"/>
          <w:highlight w:val="none"/>
        </w:rPr>
      </w:pPr>
      <w:r>
        <w:rPr>
          <w:rFonts w:hint="eastAsia" w:ascii="黑体" w:hAnsi="黑体" w:eastAsia="黑体" w:cs="黑体"/>
          <w:bCs/>
          <w:kern w:val="2"/>
          <w:sz w:val="32"/>
          <w:szCs w:val="32"/>
          <w:highlight w:val="none"/>
        </w:rPr>
        <w:t>三、名词解释</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1.财政拨款收入：本级财政部门当年拨付的财政预算资金，包括一般公共预算财政拨款</w:t>
      </w:r>
      <w:r>
        <w:rPr>
          <w:rFonts w:hint="eastAsia" w:ascii="仿宋_GB2312" w:eastAsia="仿宋_GB2312"/>
          <w:color w:val="000000"/>
          <w:sz w:val="32"/>
          <w:szCs w:val="32"/>
          <w:highlight w:val="none"/>
        </w:rPr>
        <w:t>、</w:t>
      </w:r>
      <w:r>
        <w:rPr>
          <w:rFonts w:hint="eastAsia" w:ascii="仿宋_GB2312" w:hAnsi="仿宋_GB2312" w:eastAsia="仿宋_GB2312" w:cs="仿宋_GB2312"/>
          <w:sz w:val="32"/>
          <w:szCs w:val="32"/>
          <w:highlight w:val="none"/>
        </w:rPr>
        <w:t>政府性基金预算和国有资本经营预算财政拨款。</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3.事业收入：事业单位开展专业业务活动及辅助活动所取得的收入，不含财政专户管理资金收入。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highlight w:val="none"/>
          <w:lang w:val="en-US" w:eastAsia="zh-CN"/>
        </w:rPr>
      </w:pPr>
      <w:r>
        <w:rPr>
          <w:rFonts w:hint="eastAsia"/>
          <w:highlight w:val="none"/>
          <w:lang w:val="en-US" w:eastAsia="zh-CN"/>
        </w:rPr>
        <w:t xml:space="preserve">  </w:t>
      </w:r>
    </w:p>
    <w:p>
      <w:pPr>
        <w:pStyle w:val="2"/>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12.科目代码类款项说明</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2070101文化旅游体育与传媒支出（类）文化和旅游（款）行政运行（项）：指行政单位（包括实行公务员管理的事业单位）的基本支出。</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2070111文化旅游体育与传媒支出（类）文化和旅游（款）文化创作与保护（项）：指鼓励文学、艺术创作和优秀传统文化保护方面的支出。</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2080505社会保障和就业支出（类）行政事业单位养老支出（款）机关事业单位基本养老保险缴费支出（项）：指机关事业单位实施养老保险制度由单位缴纳的基本养老保险费支出。</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2080506社会保障和就业支出（类）行政事业单位养老支出（款）机关事业单位职业年金缴费支出（项）：指机关事业单位实施养老保险制度由单位缴纳的职业年金支出。</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2089999社会保障和就业支出（类）其他社会保障和就业支出（款）其他社会保障和就业支出（项）：指失业、工伤、残保金等其他用于社会保障和就业方面的支出。</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2101101卫生健康支出（类）行政事业单位医疗（款）行政单位医疗（项）：指财政部门安排的行政单位（包括实行公务员管理的事业单位，下同）基本医疗保险缴费经费，未参加医疗保险的行政单位的公费医疗经费，按国家规定享受离休人员、红军老战士待遇的医疗经费。</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2101102卫生健康支出（类）行政事业单位医疗（款）事业 单位医疗（项）：指财政部门安排的事业单位基本医疗保险缴费经费，未参加医疗保险的事业单位的公费医疗经费，按国家规定享受离休人员的医疗经费。</w:t>
      </w:r>
    </w:p>
    <w:p>
      <w:pPr>
        <w:pStyle w:val="2"/>
        <w:ind w:left="0" w:leftChars="0" w:firstLine="640" w:firstLineChars="200"/>
        <w:rPr>
          <w:rFonts w:hint="default" w:ascii="仿宋_GB2312" w:hAnsi="仿宋_GB2312" w:eastAsia="仿宋_GB2312" w:cs="仿宋_GB2312"/>
          <w:kern w:val="2"/>
          <w:sz w:val="32"/>
          <w:szCs w:val="32"/>
          <w:highlight w:val="none"/>
          <w:lang w:val="en-US" w:eastAsia="zh-CN" w:bidi="ar-SA"/>
        </w:rPr>
      </w:pPr>
      <w:r>
        <w:rPr>
          <w:rFonts w:hint="default" w:ascii="仿宋_GB2312" w:hAnsi="仿宋_GB2312" w:eastAsia="仿宋_GB2312" w:cs="仿宋_GB2312"/>
          <w:kern w:val="2"/>
          <w:sz w:val="32"/>
          <w:szCs w:val="32"/>
          <w:highlight w:val="none"/>
          <w:lang w:val="en-US" w:eastAsia="zh-CN" w:bidi="ar-SA"/>
        </w:rPr>
        <w:t>2210201住房保障支出（类）住房改革支出（款）住房公积金（项）：指行政事业单位按人力资源和社会保障部、财政部规定的基本工资和津贴补贴以及规定比例为职工缴纳的住房公积金。</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仿宋_GB2312" w:eastAsia="仿宋_GB2312" w:cs="仿宋_GB2312"/>
          <w:kern w:val="2"/>
          <w:sz w:val="32"/>
          <w:szCs w:val="32"/>
          <w:highlight w:val="none"/>
          <w:lang w:val="en-US" w:eastAsia="zh-CN" w:bidi="ar-SA"/>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YmJmMGExNGIwM2VkMGNjN2VmODgwMTVlYzY2YzQifQ=="/>
  </w:docVars>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6F5B"/>
    <w:rsid w:val="00DA7F84"/>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1E7277"/>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1867CE3"/>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C7FC1"/>
    <w:rsid w:val="17F81734"/>
    <w:rsid w:val="180061CB"/>
    <w:rsid w:val="18154C5A"/>
    <w:rsid w:val="18EF3804"/>
    <w:rsid w:val="192429F9"/>
    <w:rsid w:val="195C3A7E"/>
    <w:rsid w:val="196F5D3F"/>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8D06DA"/>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512D96"/>
    <w:rsid w:val="27693B45"/>
    <w:rsid w:val="283A129B"/>
    <w:rsid w:val="28FE78EF"/>
    <w:rsid w:val="29672817"/>
    <w:rsid w:val="29954B63"/>
    <w:rsid w:val="29A41943"/>
    <w:rsid w:val="29B831E7"/>
    <w:rsid w:val="29DF16A7"/>
    <w:rsid w:val="29F74F67"/>
    <w:rsid w:val="2A484907"/>
    <w:rsid w:val="2B342251"/>
    <w:rsid w:val="2B755902"/>
    <w:rsid w:val="2BA81833"/>
    <w:rsid w:val="2BAC3F70"/>
    <w:rsid w:val="2BB02AB9"/>
    <w:rsid w:val="2C56166B"/>
    <w:rsid w:val="2C772798"/>
    <w:rsid w:val="2CE33635"/>
    <w:rsid w:val="2D391980"/>
    <w:rsid w:val="2D7C6F9A"/>
    <w:rsid w:val="2ED263DE"/>
    <w:rsid w:val="2F312BD6"/>
    <w:rsid w:val="2F4F315F"/>
    <w:rsid w:val="2F5260FE"/>
    <w:rsid w:val="2F78760A"/>
    <w:rsid w:val="302A5E67"/>
    <w:rsid w:val="30780EC9"/>
    <w:rsid w:val="31651329"/>
    <w:rsid w:val="31C46552"/>
    <w:rsid w:val="31EC7268"/>
    <w:rsid w:val="32691E0F"/>
    <w:rsid w:val="33722AF4"/>
    <w:rsid w:val="339F6CDD"/>
    <w:rsid w:val="344952F9"/>
    <w:rsid w:val="34F20284"/>
    <w:rsid w:val="3619346A"/>
    <w:rsid w:val="366152C5"/>
    <w:rsid w:val="374E1F98"/>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3E831107"/>
    <w:rsid w:val="400943B7"/>
    <w:rsid w:val="40143523"/>
    <w:rsid w:val="402F36CB"/>
    <w:rsid w:val="406B2735"/>
    <w:rsid w:val="4171469C"/>
    <w:rsid w:val="42C454C8"/>
    <w:rsid w:val="43482ADF"/>
    <w:rsid w:val="43497E11"/>
    <w:rsid w:val="438C52D1"/>
    <w:rsid w:val="43AF1DC7"/>
    <w:rsid w:val="442360D8"/>
    <w:rsid w:val="44A865EC"/>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4C303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4FF927DC"/>
    <w:rsid w:val="50072C4D"/>
    <w:rsid w:val="50341189"/>
    <w:rsid w:val="50804FEC"/>
    <w:rsid w:val="50837233"/>
    <w:rsid w:val="514C5668"/>
    <w:rsid w:val="51513799"/>
    <w:rsid w:val="518C29B6"/>
    <w:rsid w:val="52170DB7"/>
    <w:rsid w:val="52212BD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D42829"/>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94038C7"/>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5B06E3E"/>
    <w:rsid w:val="762D45E7"/>
    <w:rsid w:val="76432C97"/>
    <w:rsid w:val="76472E5B"/>
    <w:rsid w:val="76622032"/>
    <w:rsid w:val="76DA2B8D"/>
    <w:rsid w:val="773F1B2E"/>
    <w:rsid w:val="776141C0"/>
    <w:rsid w:val="77D029BB"/>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1B1DC6"/>
    <w:rsid w:val="7D2C5AF6"/>
    <w:rsid w:val="7D8F4D87"/>
    <w:rsid w:val="7DBB66FE"/>
    <w:rsid w:val="7DBE27C1"/>
    <w:rsid w:val="7DCA5F0F"/>
    <w:rsid w:val="7E1F736F"/>
    <w:rsid w:val="7E300305"/>
    <w:rsid w:val="7E7D74C3"/>
    <w:rsid w:val="7F213F7D"/>
    <w:rsid w:val="7F346A78"/>
    <w:rsid w:val="7F9E6D41"/>
    <w:rsid w:val="7FA57776"/>
    <w:rsid w:val="7FC250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jc w:val="both"/>
    </w:pPr>
  </w:style>
  <w:style w:type="paragraph" w:styleId="3">
    <w:name w:val="Document Map"/>
    <w:basedOn w:val="1"/>
    <w:semiHidden/>
    <w:qFormat/>
    <w:uiPriority w:val="0"/>
    <w:pPr>
      <w:shd w:val="clear" w:color="auto" w:fill="00008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Char"/>
    <w:basedOn w:val="1"/>
    <w:qFormat/>
    <w:uiPriority w:val="0"/>
    <w:rPr>
      <w:rFonts w:ascii="宋体" w:hAnsi="宋体" w:cs="Courier New"/>
      <w:sz w:val="32"/>
      <w:szCs w:val="32"/>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 w:type="paragraph" w:customStyle="1" w:styleId="16">
    <w:name w:val="标题 31"/>
    <w:basedOn w:val="1"/>
    <w:next w:val="1"/>
    <w:unhideWhenUsed/>
    <w:qFormat/>
    <w:uiPriority w:val="0"/>
    <w:pPr>
      <w:keepNext w:val="0"/>
      <w:keepLines w:val="0"/>
      <w:spacing w:beforeLines="0" w:beforeAutospacing="0" w:afterLines="0" w:afterAutospacing="0" w:line="580" w:lineRule="exact"/>
      <w:ind w:firstLine="720" w:firstLineChars="200"/>
      <w:outlineLvl w:val="2"/>
    </w:pPr>
    <w:rPr>
      <w:rFonts w:ascii="Times New Roman" w:hAnsi="Times New Roman" w:eastAsia="仿宋_GB2312"/>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9616</Words>
  <Characters>17501</Characters>
  <Lines>145</Lines>
  <Paragraphs>54</Paragraphs>
  <TotalTime>0</TotalTime>
  <ScaleCrop>false</ScaleCrop>
  <LinksUpToDate>false</LinksUpToDate>
  <CharactersWithSpaces>27063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2024-03-11T07:27:06Z</dcterms:modified>
  <dc:title>关于2019年部门预算的批复</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EDOID">
    <vt:r8>5838458</vt:r8>
  </property>
  <property fmtid="{D5CDD505-2E9C-101B-9397-08002B2CF9AE}" pid="4" name="ICV">
    <vt:lpwstr>E4A36337B2344286AC6B80FFE0C10369</vt:lpwstr>
  </property>
</Properties>
</file>