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rFonts w:ascii="Calibri" w:hAnsi="Calibri" w:cs="Calibri"/>
          <w:i w:val="0"/>
          <w:iCs w:val="0"/>
          <w:caps w:val="0"/>
          <w:color w:val="333333"/>
          <w:spacing w:val="0"/>
          <w:sz w:val="21"/>
          <w:szCs w:val="21"/>
        </w:rPr>
      </w:pPr>
      <w:r>
        <w:rPr>
          <w:rStyle w:val="5"/>
          <w:rFonts w:ascii="仿宋" w:hAnsi="仿宋" w:eastAsia="仿宋" w:cs="仿宋"/>
          <w:b/>
          <w:bCs/>
          <w:i w:val="0"/>
          <w:iCs w:val="0"/>
          <w:caps w:val="0"/>
          <w:color w:val="333333"/>
          <w:spacing w:val="0"/>
          <w:sz w:val="36"/>
          <w:szCs w:val="36"/>
          <w:bdr w:val="none" w:color="auto" w:sz="0" w:space="0"/>
          <w:shd w:val="clear" w:fill="FFFFFF"/>
        </w:rPr>
        <w:t>县</w:t>
      </w:r>
      <w:r>
        <w:rPr>
          <w:rStyle w:val="5"/>
          <w:rFonts w:hint="eastAsia" w:ascii="仿宋" w:hAnsi="仿宋" w:eastAsia="仿宋" w:cs="仿宋"/>
          <w:b/>
          <w:bCs/>
          <w:i w:val="0"/>
          <w:iCs w:val="0"/>
          <w:caps w:val="0"/>
          <w:color w:val="333333"/>
          <w:spacing w:val="0"/>
          <w:sz w:val="36"/>
          <w:szCs w:val="36"/>
          <w:bdr w:val="none" w:color="auto" w:sz="0" w:space="0"/>
          <w:shd w:val="clear" w:fill="FFFFFF"/>
        </w:rPr>
        <w:t>政府法律顾问考核表</w:t>
      </w:r>
    </w:p>
    <w:tbl>
      <w:tblPr>
        <w:tblW w:w="93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91"/>
        <w:gridCol w:w="1254"/>
        <w:gridCol w:w="4296"/>
        <w:gridCol w:w="995"/>
        <w:gridCol w:w="1027"/>
        <w:gridCol w:w="9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4"/>
                <w:szCs w:val="24"/>
              </w:rPr>
            </w:pPr>
            <w:r>
              <w:rPr>
                <w:rStyle w:val="5"/>
                <w:rFonts w:hint="eastAsia" w:ascii="仿宋" w:hAnsi="仿宋" w:eastAsia="仿宋" w:cs="仿宋"/>
                <w:b/>
                <w:bCs/>
                <w:color w:val="333333"/>
                <w:spacing w:val="0"/>
                <w:sz w:val="24"/>
                <w:szCs w:val="24"/>
                <w:bdr w:val="none" w:color="auto" w:sz="0" w:space="0"/>
                <w:shd w:val="clear" w:fill="FFFFFF"/>
              </w:rPr>
              <w:t>序号</w:t>
            </w:r>
          </w:p>
        </w:tc>
        <w:tc>
          <w:tcPr>
            <w:tcW w:w="125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4"/>
                <w:szCs w:val="24"/>
              </w:rPr>
            </w:pPr>
            <w:r>
              <w:rPr>
                <w:rStyle w:val="5"/>
                <w:rFonts w:hint="eastAsia" w:ascii="仿宋" w:hAnsi="仿宋" w:eastAsia="仿宋" w:cs="仿宋"/>
                <w:b/>
                <w:bCs/>
                <w:color w:val="333333"/>
                <w:spacing w:val="0"/>
                <w:sz w:val="24"/>
                <w:szCs w:val="24"/>
                <w:bdr w:val="none" w:color="auto" w:sz="0" w:space="0"/>
                <w:shd w:val="clear" w:fill="FFFFFF"/>
              </w:rPr>
              <w:t>考核项目</w:t>
            </w:r>
          </w:p>
        </w:tc>
        <w:tc>
          <w:tcPr>
            <w:tcW w:w="429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723" w:firstLineChars="300"/>
              <w:jc w:val="both"/>
              <w:rPr>
                <w:rFonts w:hint="default" w:ascii="Calibri" w:hAnsi="Calibri" w:cs="Calibri"/>
                <w:color w:val="333333"/>
                <w:sz w:val="24"/>
                <w:szCs w:val="24"/>
              </w:rPr>
            </w:pPr>
            <w:r>
              <w:rPr>
                <w:rStyle w:val="5"/>
                <w:rFonts w:hint="eastAsia" w:ascii="仿宋" w:hAnsi="仿宋" w:eastAsia="仿宋" w:cs="仿宋"/>
                <w:b/>
                <w:bCs/>
                <w:color w:val="333333"/>
                <w:spacing w:val="0"/>
                <w:sz w:val="24"/>
                <w:szCs w:val="24"/>
                <w:bdr w:val="none" w:color="auto" w:sz="0" w:space="0"/>
                <w:shd w:val="clear" w:fill="FFFFFF"/>
              </w:rPr>
              <w:t>考核内容</w:t>
            </w:r>
          </w:p>
        </w:tc>
        <w:tc>
          <w:tcPr>
            <w:tcW w:w="9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Style w:val="5"/>
                <w:rFonts w:hint="eastAsia" w:ascii="仿宋" w:hAnsi="仿宋" w:eastAsia="仿宋" w:cs="仿宋"/>
                <w:b/>
                <w:bCs/>
                <w:color w:val="333333"/>
                <w:spacing w:val="0"/>
                <w:sz w:val="24"/>
                <w:szCs w:val="24"/>
                <w:shd w:val="clear" w:fill="FFFFFF"/>
                <w:lang w:eastAsia="zh-CN"/>
              </w:rPr>
            </w:pPr>
            <w:r>
              <w:rPr>
                <w:rStyle w:val="5"/>
                <w:rFonts w:hint="eastAsia" w:ascii="仿宋" w:hAnsi="仿宋" w:eastAsia="仿宋" w:cs="仿宋"/>
                <w:b/>
                <w:bCs/>
                <w:color w:val="333333"/>
                <w:spacing w:val="0"/>
                <w:sz w:val="24"/>
                <w:szCs w:val="24"/>
                <w:shd w:val="clear" w:fill="FFFFFF"/>
                <w:lang w:eastAsia="zh-CN"/>
              </w:rPr>
              <w:t>自评分</w:t>
            </w:r>
          </w:p>
        </w:tc>
        <w:tc>
          <w:tcPr>
            <w:tcW w:w="10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Style w:val="5"/>
                <w:rFonts w:hint="eastAsia" w:ascii="仿宋" w:hAnsi="仿宋" w:eastAsia="仿宋" w:cs="仿宋"/>
                <w:b/>
                <w:bCs/>
                <w:color w:val="333333"/>
                <w:spacing w:val="0"/>
                <w:sz w:val="24"/>
                <w:szCs w:val="24"/>
                <w:shd w:val="clear" w:fill="FFFFFF"/>
                <w:lang w:eastAsia="zh-CN"/>
              </w:rPr>
            </w:pPr>
            <w:r>
              <w:rPr>
                <w:rStyle w:val="5"/>
                <w:rFonts w:hint="eastAsia" w:ascii="仿宋" w:hAnsi="仿宋" w:eastAsia="仿宋" w:cs="仿宋"/>
                <w:b/>
                <w:bCs/>
                <w:color w:val="333333"/>
                <w:spacing w:val="0"/>
                <w:sz w:val="24"/>
                <w:szCs w:val="24"/>
                <w:shd w:val="clear" w:fill="FFFFFF"/>
                <w:lang w:eastAsia="zh-CN"/>
              </w:rPr>
              <w:t>加扣分</w:t>
            </w:r>
          </w:p>
        </w:tc>
        <w:tc>
          <w:tcPr>
            <w:tcW w:w="91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4"/>
                <w:szCs w:val="24"/>
              </w:rPr>
            </w:pPr>
            <w:r>
              <w:rPr>
                <w:rStyle w:val="5"/>
                <w:rFonts w:hint="eastAsia" w:ascii="仿宋" w:hAnsi="仿宋" w:eastAsia="仿宋" w:cs="仿宋"/>
                <w:b/>
                <w:bCs/>
                <w:color w:val="333333"/>
                <w:spacing w:val="0"/>
                <w:sz w:val="24"/>
                <w:szCs w:val="24"/>
                <w:bdr w:val="none" w:color="auto" w:sz="0" w:space="0"/>
                <w:shd w:val="clear" w:fill="FFFFFF"/>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1</w:t>
            </w:r>
          </w:p>
        </w:tc>
        <w:tc>
          <w:tcPr>
            <w:tcW w:w="12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尽职履职方面（40分）</w:t>
            </w: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无正当理由，未在规定时间内完成聘任单位交办任务的，每次扣10分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无正当理由，不参加聘任单位通知要求参加的会议或活动的，每次扣10分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未按时履行年度工作报告义务的，扣5分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年度报告内容质量较差的，扣1～5分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经向县政府分管领导了解，对顾问工作办理不满意的，每项扣5分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2</w:t>
            </w:r>
          </w:p>
        </w:tc>
        <w:tc>
          <w:tcPr>
            <w:tcW w:w="12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服务质量方面（30分）</w:t>
            </w: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提供的法律意见、建议适用法律错误的，每次扣5～10分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提供的法律咨询意见、建议脱离实际、缺乏可行性的，每次扣1～10分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4"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4"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4"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提交的法律意见、建议表述不清、逻辑混乱的，每次扣1～10分</w:t>
            </w:r>
          </w:p>
        </w:tc>
        <w:tc>
          <w:tcPr>
            <w:tcW w:w="995" w:type="dxa"/>
            <w:tcBorders>
              <w:top w:val="nil"/>
              <w:left w:val="nil"/>
              <w:bottom w:val="single" w:color="auto" w:sz="4"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4"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4"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restart"/>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bookmarkStart w:id="0" w:name="_GoBack"/>
            <w:r>
              <w:rPr>
                <w:rFonts w:hint="eastAsia" w:ascii="仿宋" w:hAnsi="仿宋" w:eastAsia="仿宋" w:cs="仿宋"/>
                <w:color w:val="333333"/>
                <w:spacing w:val="0"/>
                <w:sz w:val="28"/>
                <w:szCs w:val="28"/>
                <w:bdr w:val="none" w:color="auto" w:sz="0" w:space="0"/>
                <w:shd w:val="clear" w:fill="FFFFFF"/>
              </w:rPr>
              <w:t>3</w:t>
            </w:r>
          </w:p>
        </w:tc>
        <w:tc>
          <w:tcPr>
            <w:tcW w:w="1254" w:type="dxa"/>
            <w:vMerge w:val="restart"/>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规范执业方面（20分）</w:t>
            </w:r>
          </w:p>
        </w:tc>
        <w:tc>
          <w:tcPr>
            <w:tcW w:w="4296" w:type="dxa"/>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顾问律师或所在律师事务所被投诉查实，受到行业处分或行政处罚的，每次扣10分</w:t>
            </w:r>
          </w:p>
        </w:tc>
        <w:tc>
          <w:tcPr>
            <w:tcW w:w="995" w:type="dxa"/>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bookmarkEnd w:id="0"/>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single" w:color="auto" w:sz="4" w:space="0"/>
              <w:left w:val="single" w:color="auto" w:sz="4"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single" w:color="auto" w:sz="4" w:space="0"/>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single" w:color="auto" w:sz="4"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同时接受与政府法律顾问服务内容相关的行政相对人的委托，为其提供法律服务的，每次扣10分</w:t>
            </w:r>
          </w:p>
        </w:tc>
        <w:tc>
          <w:tcPr>
            <w:tcW w:w="995" w:type="dxa"/>
            <w:tcBorders>
              <w:top w:val="single" w:color="auto" w:sz="4"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single" w:color="auto" w:sz="4"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single" w:color="auto" w:sz="4"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4"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擅自泄露在工作中接触的有关政府工作的秘密和其他不宜公开的信息的，每次扣10分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91" w:type="dxa"/>
            <w:vMerge w:val="continue"/>
            <w:tcBorders>
              <w:top w:val="nil"/>
              <w:left w:val="single" w:color="auto" w:sz="4"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利用政府法律顾问工作便利为本人或者他人谋取不正当利益的，每次扣10分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91" w:type="dxa"/>
            <w:vMerge w:val="continue"/>
            <w:tcBorders>
              <w:top w:val="nil"/>
              <w:left w:val="single" w:color="auto" w:sz="4"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以政府法律顾问的身份从事商业活动或者招揽业务的，每次扣10分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9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4</w:t>
            </w:r>
          </w:p>
        </w:tc>
        <w:tc>
          <w:tcPr>
            <w:tcW w:w="12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right="0"/>
              <w:jc w:val="left"/>
              <w:rPr>
                <w:rFonts w:hint="default" w:ascii="Calibri" w:hAnsi="Calibri" w:cs="Calibri"/>
                <w:color w:val="333333"/>
                <w:sz w:val="24"/>
                <w:szCs w:val="24"/>
              </w:rPr>
            </w:pPr>
            <w:r>
              <w:rPr>
                <w:rFonts w:hint="eastAsia" w:ascii="仿宋" w:hAnsi="仿宋" w:eastAsia="仿宋" w:cs="仿宋"/>
                <w:color w:val="333333"/>
                <w:spacing w:val="0"/>
                <w:sz w:val="28"/>
                <w:szCs w:val="28"/>
                <w:bdr w:val="none" w:color="auto" w:sz="0" w:space="0"/>
                <w:shd w:val="clear" w:fill="FFFFFF"/>
              </w:rPr>
              <w:t>加分项目（10分）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jc w:val="center"/>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 </w:t>
            </w: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提出的意见和建议被县委、县政府领导批示肯定的，加1-5分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9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12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both"/>
              <w:rPr>
                <w:rFonts w:hint="default" w:ascii="Times New Roman" w:hAnsi="Times New Roman" w:cs="Times New Roman"/>
                <w:sz w:val="19"/>
                <w:szCs w:val="19"/>
              </w:rPr>
            </w:pPr>
          </w:p>
        </w:tc>
        <w:tc>
          <w:tcPr>
            <w:tcW w:w="42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right="0"/>
              <w:jc w:val="both"/>
              <w:rPr>
                <w:rFonts w:hint="default" w:ascii="Calibri" w:hAnsi="Calibri" w:cs="Calibri"/>
                <w:color w:val="333333"/>
                <w:sz w:val="21"/>
                <w:szCs w:val="21"/>
              </w:rPr>
            </w:pPr>
            <w:r>
              <w:rPr>
                <w:rFonts w:hint="eastAsia" w:ascii="仿宋" w:hAnsi="仿宋" w:eastAsia="仿宋" w:cs="仿宋"/>
                <w:color w:val="333333"/>
                <w:spacing w:val="0"/>
                <w:sz w:val="28"/>
                <w:szCs w:val="28"/>
                <w:bdr w:val="none" w:color="auto" w:sz="0" w:space="0"/>
                <w:shd w:val="clear" w:fill="FFFFFF"/>
              </w:rPr>
              <w:t>从事政府法律顾问工作的经验做法或者对我县法治政府建设情况的调研报告在全国、省级、市级及县级会议上交流的，加1-5分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41"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jc w:val="center"/>
              <w:rPr>
                <w:rFonts w:hint="default" w:ascii="Calibri" w:hAnsi="Calibri" w:cs="Calibri"/>
                <w:color w:val="333333"/>
                <w:sz w:val="21"/>
                <w:szCs w:val="21"/>
              </w:rPr>
            </w:pPr>
            <w:r>
              <w:rPr>
                <w:rStyle w:val="5"/>
                <w:rFonts w:hint="eastAsia" w:ascii="仿宋" w:hAnsi="仿宋" w:eastAsia="仿宋" w:cs="仿宋"/>
                <w:b/>
                <w:bCs/>
                <w:color w:val="333333"/>
                <w:spacing w:val="0"/>
                <w:sz w:val="28"/>
                <w:szCs w:val="28"/>
                <w:bdr w:val="none" w:color="auto" w:sz="0" w:space="0"/>
                <w:shd w:val="clear" w:fill="FFFFFF"/>
              </w:rPr>
              <w:t>总分</w:t>
            </w:r>
          </w:p>
        </w:tc>
        <w:tc>
          <w:tcPr>
            <w:tcW w:w="9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102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c>
          <w:tcPr>
            <w:tcW w:w="9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pPr>
      <w:r>
        <w:rPr>
          <w:rFonts w:ascii="仿宋_GB2312" w:hAnsi="Calibri" w:eastAsia="仿宋_GB2312" w:cs="仿宋_GB2312"/>
          <w:i w:val="0"/>
          <w:iCs w:val="0"/>
          <w:caps w:val="0"/>
          <w:color w:val="333333"/>
          <w:spacing w:val="0"/>
          <w:sz w:val="31"/>
          <w:szCs w:val="31"/>
          <w:bdr w:val="none" w:color="auto" w:sz="0" w:space="0"/>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B2A03"/>
    <w:rsid w:val="3FEB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2023-10-26T11:54:00Z</dcterms:created>
  <dc:creator>郑晓朵</dc:creator>
  <cp:lastModifiedBy>郑晓朵</cp:lastModifiedBy>
  <dcterms:modified xsi:type="dcterms:W3CDTF">2023-10-26T11:57:21Z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82763DCB46634B279FC58D69168D092F</vt:lpwstr>
  </property>
</Properties>
</file>