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2024</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eastAsia="zh-CN"/>
        </w:rPr>
        <w:t>浦江邮政管理局</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9"/>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9"/>
          <w:rFonts w:hint="eastAsia" w:ascii="黑体" w:eastAsia="黑体"/>
          <w:b w:val="0"/>
          <w:color w:val="000000"/>
          <w:sz w:val="32"/>
          <w:szCs w:val="32"/>
          <w:highlight w:val="none"/>
          <w:lang w:eastAsia="zh-CN"/>
        </w:rPr>
        <w:t>浦江邮政管理局</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浦江邮政管理局</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2024</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浦江邮政管理局</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关于浦江邮政管理局</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关于浦江邮政管理局</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关于浦江邮政管理局</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关于浦江邮政管理局</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（五）关于浦江邮政管理局</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关于浦江邮政管理局</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（七）关于浦江邮政管理局</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（八）关于浦江邮政管理局</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（九）关于浦江邮政管理局</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hAnsi="Calibri" w:eastAsia="黑体" w:cs="Times New Roman"/>
          <w:b w:val="0"/>
          <w:color w:val="000000"/>
          <w:kern w:val="2"/>
          <w:sz w:val="32"/>
          <w:szCs w:val="32"/>
          <w:highlight w:val="none"/>
          <w:lang w:val="en-US" w:eastAsia="zh-CN" w:bidi="ar-SA"/>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四、</w:t>
      </w:r>
      <w:r>
        <w:rPr>
          <w:rStyle w:val="9"/>
          <w:rFonts w:hint="eastAsia" w:ascii="黑体" w:eastAsia="黑体"/>
          <w:b w:val="0"/>
          <w:color w:val="000000"/>
          <w:sz w:val="32"/>
          <w:szCs w:val="32"/>
          <w:highlight w:val="none"/>
          <w:lang w:val="en-US" w:eastAsia="zh-CN"/>
        </w:rPr>
        <w:t>2024</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val="en-US" w:eastAsia="zh-CN"/>
        </w:rPr>
        <w:t>浦江邮政管理局</w:t>
      </w:r>
      <w:r>
        <w:rPr>
          <w:rStyle w:val="9"/>
          <w:rFonts w:hint="eastAsia" w:ascii="黑体" w:eastAsia="黑体"/>
          <w:b w:val="0"/>
          <w:color w:val="000000"/>
          <w:sz w:val="32"/>
          <w:szCs w:val="32"/>
          <w:highlight w:val="none"/>
          <w:lang w:eastAsia="zh-CN"/>
        </w:rPr>
        <w:t>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浦江邮政管理局</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浦江邮政管理局</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浦江邮政管理局</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浦江邮政管理局</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浦江邮政管理局</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浦江邮政管理局</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浦江邮政管理局</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浦江邮政管理局</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浦江邮政管理局</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浦江邮政管理局</w:t>
      </w:r>
      <w:r>
        <w:rPr>
          <w:rFonts w:hint="eastAsia" w:ascii="楷体_GB2312" w:hAnsi="楷体_GB2312" w:eastAsia="楷体_GB2312" w:cs="楷体_GB2312"/>
          <w:b w:val="0"/>
          <w:bCs/>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760" w:lineRule="exact"/>
        <w:ind w:right="0" w:rightChars="0" w:firstLine="627" w:firstLineChars="196"/>
        <w:textAlignment w:val="auto"/>
        <w:outlineLvl w:val="9"/>
        <w:rPr>
          <w:rStyle w:val="9"/>
          <w:rFonts w:hint="eastAsia" w:ascii="黑体" w:eastAsia="黑体"/>
          <w:b w:val="0"/>
          <w:color w:val="000000"/>
          <w:sz w:val="32"/>
          <w:szCs w:val="32"/>
          <w:highlight w:val="none"/>
        </w:rPr>
      </w:pPr>
      <w:r>
        <w:rPr>
          <w:rStyle w:val="9"/>
          <w:rFonts w:hint="eastAsia" w:ascii="黑体" w:eastAsia="黑体"/>
          <w:b w:val="0"/>
          <w:color w:val="000000"/>
          <w:sz w:val="32"/>
          <w:szCs w:val="32"/>
          <w:highlight w:val="none"/>
        </w:rPr>
        <w:t>一、</w:t>
      </w:r>
      <w:r>
        <w:rPr>
          <w:rStyle w:val="9"/>
          <w:rFonts w:hint="eastAsia" w:ascii="黑体" w:eastAsia="黑体"/>
          <w:b w:val="0"/>
          <w:color w:val="000000"/>
          <w:sz w:val="32"/>
          <w:szCs w:val="32"/>
          <w:highlight w:val="none"/>
          <w:lang w:eastAsia="zh-CN"/>
        </w:rPr>
        <w:t>浦江邮政管理局</w:t>
      </w:r>
      <w:r>
        <w:rPr>
          <w:rStyle w:val="9"/>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76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pStyle w:val="3"/>
        <w:pageBreakBefore w:val="0"/>
        <w:kinsoku/>
        <w:wordWrap/>
        <w:overflowPunct/>
        <w:topLinePunct w:val="0"/>
        <w:autoSpaceDE/>
        <w:autoSpaceDN/>
        <w:bidi w:val="0"/>
        <w:adjustRightInd/>
        <w:snapToGrid/>
        <w:spacing w:line="760" w:lineRule="exact"/>
        <w:ind w:firstLine="643" w:firstLineChars="200"/>
        <w:textAlignment w:val="auto"/>
        <w:rPr>
          <w:rFonts w:hint="eastAsia" w:ascii="楷体" w:hAnsi="楷体" w:eastAsia="楷体" w:cs="楷体"/>
        </w:rPr>
      </w:pPr>
      <w:r>
        <w:rPr>
          <w:rFonts w:hint="eastAsia" w:ascii="仿宋_GB2312" w:eastAsia="仿宋_GB2312"/>
          <w:bCs/>
          <w:sz w:val="32"/>
          <w:szCs w:val="32"/>
          <w:highlight w:val="none"/>
        </w:rPr>
        <w:t>1.</w:t>
      </w:r>
      <w:bookmarkStart w:id="0" w:name="_Toc18891"/>
      <w:r>
        <w:rPr>
          <w:rFonts w:hint="eastAsia" w:ascii="仿宋_GB2312" w:eastAsia="仿宋_GB2312"/>
          <w:bCs/>
          <w:sz w:val="32"/>
          <w:szCs w:val="32"/>
          <w:highlight w:val="none"/>
        </w:rPr>
        <w:t>主要监督管理浦江县邮政市场及邮政普遍服务和机要通信等特殊服务的实施，负责行业安全生产监管、统计等工作，保障邮政通信与信息安全工作。</w:t>
      </w:r>
      <w:bookmarkEnd w:id="0"/>
    </w:p>
    <w:p>
      <w:pPr>
        <w:keepNext w:val="0"/>
        <w:keepLines w:val="0"/>
        <w:pageBreakBefore w:val="0"/>
        <w:kinsoku/>
        <w:wordWrap/>
        <w:overflowPunct/>
        <w:topLinePunct w:val="0"/>
        <w:autoSpaceDE/>
        <w:autoSpaceDN/>
        <w:bidi w:val="0"/>
        <w:adjustRightInd/>
        <w:snapToGrid/>
        <w:spacing w:beforeLines="0" w:afterLines="0" w:line="76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浦江邮政管理局</w:t>
      </w:r>
      <w:r>
        <w:rPr>
          <w:rFonts w:hint="eastAsia" w:ascii="楷体_GB2312" w:hAnsi="楷体_GB2312" w:eastAsia="楷体_GB2312" w:cs="楷体_GB2312"/>
          <w:b w:val="0"/>
          <w:bCs/>
          <w:sz w:val="32"/>
          <w:szCs w:val="32"/>
          <w:highlight w:val="none"/>
        </w:rPr>
        <w:t>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从预算</w:t>
      </w:r>
      <w:r>
        <w:rPr>
          <w:rFonts w:hint="eastAsia" w:ascii="仿宋_GB2312" w:eastAsia="仿宋_GB2312"/>
          <w:bCs/>
          <w:sz w:val="32"/>
          <w:szCs w:val="32"/>
          <w:highlight w:val="none"/>
          <w:lang w:eastAsia="zh-CN"/>
        </w:rPr>
        <w:t>单位</w:t>
      </w:r>
      <w:r>
        <w:rPr>
          <w:rFonts w:hint="eastAsia" w:ascii="仿宋_GB2312" w:eastAsia="仿宋_GB2312"/>
          <w:bCs/>
          <w:sz w:val="32"/>
          <w:szCs w:val="32"/>
          <w:highlight w:val="none"/>
        </w:rPr>
        <w:t>构成看，</w:t>
      </w:r>
      <w:r>
        <w:rPr>
          <w:rFonts w:hint="eastAsia" w:ascii="仿宋_GB2312" w:eastAsia="仿宋_GB2312"/>
          <w:bCs/>
          <w:sz w:val="32"/>
          <w:szCs w:val="32"/>
          <w:highlight w:val="none"/>
          <w:lang w:val="en-US" w:eastAsia="zh-CN"/>
        </w:rPr>
        <w:t>浦江邮政管理局</w:t>
      </w:r>
      <w:r>
        <w:rPr>
          <w:rFonts w:hint="eastAsia" w:ascii="仿宋_GB2312" w:eastAsia="仿宋_GB2312"/>
          <w:bCs/>
          <w:sz w:val="32"/>
          <w:szCs w:val="32"/>
          <w:highlight w:val="none"/>
        </w:rPr>
        <w:t>预算包括：本级预算</w:t>
      </w:r>
      <w:r>
        <w:rPr>
          <w:rFonts w:hint="eastAsia" w:ascii="仿宋_GB2312" w:eastAsia="仿宋_GB2312"/>
          <w:bCs/>
          <w:sz w:val="32"/>
          <w:szCs w:val="32"/>
          <w:highlight w:val="none"/>
          <w:lang w:val="en-US" w:eastAsia="zh-CN"/>
        </w:rPr>
        <w:t>浦江县邮政业安全中心</w:t>
      </w:r>
      <w:r>
        <w:rPr>
          <w:rFonts w:hint="eastAsia" w:ascii="仿宋_GB2312" w:eastAsia="仿宋_GB2312"/>
          <w:bCs/>
          <w:sz w:val="32"/>
          <w:szCs w:val="32"/>
          <w:highlight w:val="none"/>
        </w:rPr>
        <w:t>预算</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0" w:firstLineChars="200"/>
        <w:textAlignment w:val="auto"/>
        <w:outlineLvl w:val="9"/>
        <w:rPr>
          <w:rFonts w:hint="eastAsia" w:ascii="楷体_GB2312" w:hAnsi="楷体_GB2312" w:eastAsia="楷体_GB2312" w:cs="楷体_GB2312"/>
          <w:b w:val="0"/>
          <w:bCs w:val="0"/>
          <w:color w:val="000000"/>
          <w:sz w:val="32"/>
          <w:szCs w:val="32"/>
          <w:highlight w:val="none"/>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2024</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浦江邮政管理局</w:t>
      </w:r>
      <w:r>
        <w:rPr>
          <w:rStyle w:val="9"/>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浦江邮政管理局</w:t>
      </w:r>
      <w:r>
        <w:rPr>
          <w:rStyle w:val="9"/>
          <w:rFonts w:hint="eastAsia" w:ascii="楷体_GB2312" w:hAnsi="楷体_GB2312" w:eastAsia="楷体_GB2312" w:cs="楷体_GB2312"/>
          <w:b w:val="0"/>
          <w:bCs w:val="0"/>
          <w:color w:val="000000"/>
          <w:sz w:val="32"/>
          <w:szCs w:val="32"/>
          <w:highlight w:val="none"/>
          <w:lang w:val="en-US" w:eastAsia="zh-CN"/>
        </w:rPr>
        <w:t>2024</w:t>
      </w:r>
      <w:r>
        <w:rPr>
          <w:rStyle w:val="9"/>
          <w:rFonts w:hint="eastAsia" w:ascii="楷体_GB2312" w:hAnsi="楷体_GB2312" w:eastAsia="楷体_GB2312" w:cs="楷体_GB2312"/>
          <w:b w:val="0"/>
          <w:bCs w:val="0"/>
          <w:color w:val="000000"/>
          <w:sz w:val="32"/>
          <w:szCs w:val="32"/>
          <w:highlight w:val="none"/>
        </w:rPr>
        <w:t>年</w:t>
      </w:r>
      <w:r>
        <w:rPr>
          <w:rStyle w:val="9"/>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综合预算的原则浦江邮政管理局</w:t>
      </w:r>
      <w:r>
        <w:rPr>
          <w:rFonts w:hint="eastAsia" w:ascii="仿宋_GB2312" w:eastAsia="仿宋_GB2312"/>
          <w:color w:val="000000"/>
          <w:sz w:val="32"/>
          <w:szCs w:val="32"/>
          <w:highlight w:val="none"/>
          <w:lang w:eastAsia="zh-CN"/>
        </w:rPr>
        <w:t>所有收入和支出均纳入浦江邮政管理局预算管</w:t>
      </w:r>
      <w:bookmarkStart w:id="1" w:name="_GoBack"/>
      <w:bookmarkEnd w:id="1"/>
      <w:r>
        <w:rPr>
          <w:rFonts w:hint="eastAsia" w:ascii="仿宋_GB2312" w:eastAsia="仿宋_GB2312"/>
          <w:color w:val="000000"/>
          <w:sz w:val="32"/>
          <w:szCs w:val="32"/>
          <w:highlight w:val="none"/>
          <w:lang w:eastAsia="zh-CN"/>
        </w:rPr>
        <w:t>理。收入包括：一般公共预算拨款收入；支出包括：交通运输支出。浦江邮政管理局</w:t>
      </w:r>
      <w:r>
        <w:rPr>
          <w:rFonts w:hint="eastAsia" w:ascii="仿宋_GB2312" w:eastAsia="仿宋_GB2312"/>
          <w:color w:val="000000"/>
          <w:sz w:val="32"/>
          <w:szCs w:val="32"/>
          <w:highlight w:val="none"/>
          <w:lang w:val="en-US" w:eastAsia="zh-CN"/>
        </w:rPr>
        <w:t>2024年收支总预算128.8万元。</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关于浦江邮政管理局</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浦江邮政管理局</w:t>
      </w:r>
      <w:r>
        <w:rPr>
          <w:rFonts w:hint="eastAsia" w:ascii="仿宋_GB2312" w:hAnsi="仿宋_GB2312" w:eastAsia="仿宋_GB2312" w:cs="仿宋_GB2312"/>
          <w:color w:val="000000"/>
          <w:sz w:val="32"/>
          <w:szCs w:val="32"/>
          <w:highlight w:val="none"/>
          <w:lang w:val="en-US" w:eastAsia="zh-CN"/>
        </w:rPr>
        <w:t>2024</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128.8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5万元，下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3.8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主要是邮政业规范化运行经费减少5万元。</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128.8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关于浦江邮政管理局</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浦江邮政管理局</w:t>
      </w:r>
      <w:r>
        <w:rPr>
          <w:rFonts w:hint="eastAsia" w:ascii="仿宋_GB2312" w:hAnsi="仿宋_GB2312" w:eastAsia="仿宋_GB2312" w:cs="仿宋_GB2312"/>
          <w:color w:val="000000"/>
          <w:sz w:val="32"/>
          <w:szCs w:val="32"/>
          <w:highlight w:val="none"/>
          <w:lang w:val="en-US" w:eastAsia="zh-CN"/>
        </w:rPr>
        <w:t>2024</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128.8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5万元，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3.8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主要是邮政业规范化运行经费减少5万元。</w:t>
      </w:r>
    </w:p>
    <w:p>
      <w:pPr>
        <w:keepNext w:val="0"/>
        <w:keepLines w:val="0"/>
        <w:pageBreakBefore w:val="0"/>
        <w:kinsoku/>
        <w:wordWrap/>
        <w:overflowPunct/>
        <w:topLinePunct w:val="0"/>
        <w:autoSpaceDE/>
        <w:autoSpaceDN/>
        <w:bidi w:val="0"/>
        <w:adjustRightInd/>
        <w:snapToGrid/>
        <w:spacing w:beforeLines="0" w:afterLines="0" w:line="76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128.8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2.按支出用途分类，项目支出</w:t>
      </w:r>
      <w:r>
        <w:rPr>
          <w:rFonts w:hint="eastAsia" w:ascii="仿宋_GB2312" w:eastAsia="仿宋_GB2312"/>
          <w:color w:val="000000"/>
          <w:sz w:val="32"/>
          <w:szCs w:val="32"/>
          <w:highlight w:val="none"/>
          <w:lang w:val="en-US" w:eastAsia="zh-CN"/>
        </w:rPr>
        <w:t>128.8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76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关于浦江邮政管理局</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76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浦江邮政管理局</w:t>
      </w:r>
      <w:r>
        <w:rPr>
          <w:rFonts w:hint="eastAsia" w:ascii="仿宋_GB2312" w:eastAsia="仿宋_GB2312"/>
          <w:color w:val="000000"/>
          <w:sz w:val="32"/>
          <w:szCs w:val="32"/>
          <w:highlight w:val="none"/>
          <w:lang w:val="en-US" w:eastAsia="zh-CN"/>
        </w:rPr>
        <w:t>2024年财政拨款收支总预算</w:t>
      </w:r>
      <w:r>
        <w:rPr>
          <w:rFonts w:hint="eastAsia" w:ascii="仿宋_GB2312" w:eastAsia="仿宋_GB2312"/>
          <w:color w:val="000000"/>
          <w:sz w:val="32"/>
          <w:szCs w:val="32"/>
          <w:highlight w:val="none"/>
        </w:rPr>
        <w:t>XX</w:t>
      </w:r>
      <w:r>
        <w:rPr>
          <w:rFonts w:hint="eastAsia" w:ascii="仿宋_GB2312" w:eastAsia="仿宋_GB2312"/>
          <w:color w:val="000000"/>
          <w:sz w:val="32"/>
          <w:szCs w:val="32"/>
          <w:highlight w:val="none"/>
          <w:lang w:val="en-US" w:eastAsia="zh-CN"/>
        </w:rPr>
        <w:t>万元。收入包括：一般公共预算128.8万元；支出包括：</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128.8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76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关于浦江邮政管理局</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浦江邮政管理局</w:t>
      </w:r>
      <w:r>
        <w:rPr>
          <w:rFonts w:hint="eastAsia" w:ascii="仿宋_GB2312" w:hAnsi="仿宋_GB2312" w:eastAsia="仿宋_GB2312" w:cs="仿宋_GB2312"/>
          <w:color w:val="000000"/>
          <w:sz w:val="32"/>
          <w:szCs w:val="32"/>
          <w:highlight w:val="none"/>
          <w:lang w:val="en-US" w:eastAsia="zh-CN"/>
        </w:rPr>
        <w:t>2024年一般公共预算当年拨款128.8万元，比上年执行数减少5万元，下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3.8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主要是邮政业规范化运行经费减少5万元。</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交通运输（类）支出</w:t>
      </w:r>
      <w:r>
        <w:rPr>
          <w:rFonts w:hint="eastAsia" w:ascii="仿宋_GB2312" w:hAnsi="仿宋_GB2312" w:eastAsia="仿宋_GB2312" w:cs="仿宋_GB2312"/>
          <w:color w:val="000000"/>
          <w:sz w:val="32"/>
          <w:szCs w:val="32"/>
          <w:highlight w:val="none"/>
          <w:lang w:val="en-US" w:eastAsia="zh-CN"/>
        </w:rPr>
        <w:t>128.8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76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）交通运输支出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行政运行</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邮政业规范化运行经费25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快递市场业务培训,寄递项目经费,局日常经费</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76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）交通运输支出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行政运行</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临时人员经费24</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临时人员工资及临时人员其他支出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76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）交通运输支出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行政运行</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浦江县村邮站工作报酬项目76.8</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邮政公司</w:t>
      </w:r>
      <w:r>
        <w:rPr>
          <w:rFonts w:hint="eastAsia" w:ascii="仿宋_GB2312" w:hAnsi="仿宋_GB2312" w:eastAsia="仿宋_GB2312" w:cs="仿宋_GB2312"/>
          <w:color w:val="000000"/>
          <w:sz w:val="32"/>
          <w:szCs w:val="32"/>
          <w:highlight w:val="none"/>
          <w:lang w:val="en-US" w:eastAsia="zh-CN"/>
        </w:rPr>
        <w:t>村邮站工作报酬</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76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交通运输支出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行政运行</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三公经费支出3</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公务接待</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关于浦江邮政管理局</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浦江邮政管理局</w:t>
      </w:r>
      <w:r>
        <w:rPr>
          <w:rFonts w:hint="eastAsia" w:ascii="仿宋_GB2312" w:eastAsia="仿宋_GB2312"/>
          <w:color w:val="000000"/>
          <w:sz w:val="32"/>
          <w:szCs w:val="32"/>
          <w:highlight w:val="none"/>
          <w:lang w:val="en-US" w:eastAsia="zh-CN"/>
        </w:rPr>
        <w:t>2024</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0万元，其中：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浦江邮政管理局</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0万元，2022年新部门成立，因公务员指标紧缺，我局5名公务员指标核而未给，局暂无编制人员。</w:t>
      </w:r>
    </w:p>
    <w:p>
      <w:pPr>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（七）关于浦江邮政管理局</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76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浦江邮政管理局</w:t>
      </w:r>
      <w:r>
        <w:rPr>
          <w:rFonts w:hint="eastAsia" w:ascii="仿宋_GB2312" w:hAnsi="仿宋_GB2312" w:eastAsia="仿宋_GB2312" w:cs="仿宋_GB2312"/>
          <w:color w:val="000000"/>
          <w:sz w:val="32"/>
          <w:szCs w:val="32"/>
          <w:highlight w:val="none"/>
          <w:lang w:val="en-US" w:eastAsia="zh-CN"/>
        </w:rPr>
        <w:t>2024年没有使用政府性基金预算拨款安排的支出。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76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76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浦江邮政管理局</w:t>
      </w:r>
      <w:r>
        <w:rPr>
          <w:rFonts w:hint="eastAsia" w:ascii="仿宋_GB2312" w:hAnsi="仿宋_GB2312" w:eastAsia="仿宋_GB2312" w:cs="仿宋_GB2312"/>
          <w:color w:val="000000"/>
          <w:sz w:val="32"/>
          <w:szCs w:val="32"/>
          <w:highlight w:val="none"/>
          <w:lang w:val="en-US" w:eastAsia="zh-CN"/>
        </w:rPr>
        <w:t>2024年没有使用国有资本经营预算拨款安排的支出。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76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（九）关于浦江邮政管理局</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浦江邮政管理局</w:t>
      </w:r>
      <w:r>
        <w:rPr>
          <w:rFonts w:hint="eastAsia" w:ascii="仿宋_GB2312" w:hAnsi="仿宋_GB2312" w:eastAsia="仿宋_GB2312"/>
          <w:sz w:val="32"/>
          <w:highlight w:val="none"/>
          <w:lang w:val="en-US" w:eastAsia="zh-CN"/>
        </w:rPr>
        <w:t>2024</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3</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同上年预算数一样，</w:t>
      </w:r>
      <w:r>
        <w:rPr>
          <w:rFonts w:hint="eastAsia" w:ascii="仿宋_GB2312" w:hAnsi="仿宋_GB2312" w:eastAsia="仿宋_GB2312"/>
          <w:sz w:val="32"/>
          <w:highlight w:val="none"/>
          <w:lang w:eastAsia="zh-CN"/>
        </w:rPr>
        <w:t>具体如下：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760" w:lineRule="exact"/>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公务接待费：</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2.75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Times New Roman"/>
          <w:kern w:val="2"/>
          <w:sz w:val="32"/>
          <w:szCs w:val="20"/>
          <w:highlight w:val="none"/>
          <w:shd w:val="clear" w:color="auto" w:fill="FFFFFF"/>
          <w:lang w:val="en-US" w:eastAsia="zh-CN" w:bidi="ar"/>
        </w:rPr>
        <w:t>同上年预算数一样</w:t>
      </w:r>
      <w:r>
        <w:rPr>
          <w:rFonts w:hint="eastAsia" w:ascii="仿宋_GB2312" w:hAnsi="仿宋_GB2312" w:eastAsia="仿宋_GB2312" w:cs="仿宋_GB2312"/>
          <w:sz w:val="32"/>
          <w:szCs w:val="32"/>
          <w:highlight w:val="none"/>
        </w:rPr>
        <w:t>。主要用于接待</w:t>
      </w:r>
      <w:r>
        <w:rPr>
          <w:rFonts w:hint="eastAsia" w:ascii="仿宋_GB2312" w:hAnsi="仿宋_GB2312" w:eastAsia="仿宋_GB2312" w:cs="仿宋_GB2312"/>
          <w:sz w:val="32"/>
          <w:szCs w:val="32"/>
          <w:highlight w:val="none"/>
          <w:lang w:eastAsia="zh-CN"/>
        </w:rPr>
        <w:t>、接待餐费</w:t>
      </w:r>
      <w:r>
        <w:rPr>
          <w:rFonts w:hint="eastAsia" w:ascii="仿宋_GB2312" w:hAnsi="仿宋_GB2312" w:eastAsia="仿宋_GB2312" w:cs="仿宋_GB2312"/>
          <w:sz w:val="32"/>
          <w:szCs w:val="32"/>
          <w:highlight w:val="none"/>
        </w:rPr>
        <w:t>等支出。</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2024</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0.25</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比</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0.25万元，</w:t>
      </w:r>
      <w:r>
        <w:rPr>
          <w:rFonts w:hint="eastAsia" w:ascii="仿宋_GB2312" w:hAnsi="仿宋_GB2312" w:eastAsia="仿宋_GB2312" w:cs="仿宋_GB2312"/>
          <w:sz w:val="32"/>
          <w:szCs w:val="32"/>
          <w:highlight w:val="none"/>
          <w:lang w:eastAsia="zh-CN"/>
        </w:rPr>
        <w:t>增长</w:t>
      </w:r>
      <w:r>
        <w:rPr>
          <w:rFonts w:hint="eastAsia" w:ascii="仿宋_GB2312" w:eastAsia="仿宋_GB2312"/>
          <w:color w:val="000000"/>
          <w:sz w:val="32"/>
          <w:szCs w:val="32"/>
          <w:highlight w:val="none"/>
          <w:lang w:val="en-US" w:eastAsia="zh-CN"/>
        </w:rPr>
        <w:t>25</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。其中公务用车运行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0.25</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0.25万元，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eastAsia="zh-CN"/>
        </w:rPr>
        <w:t>）</w:t>
      </w:r>
      <w:r>
        <w:rPr>
          <w:rFonts w:hint="eastAsia" w:ascii="仿宋_GB2312" w:eastAsia="仿宋_GB2312"/>
          <w:color w:val="000000"/>
          <w:sz w:val="32"/>
          <w:szCs w:val="32"/>
          <w:highlight w:val="none"/>
          <w:lang w:val="en-US" w:eastAsia="zh-CN"/>
        </w:rPr>
        <w:t>25</w:t>
      </w:r>
      <w:r>
        <w:rPr>
          <w:rFonts w:hint="eastAsia" w:ascii="仿宋_GB2312" w:hAnsi="仿宋_GB2312" w:eastAsia="仿宋_GB2312" w:cs="仿宋_GB2312"/>
          <w:sz w:val="32"/>
          <w:szCs w:val="32"/>
          <w:highlight w:val="none"/>
        </w:rPr>
        <w:t>%</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lang w:eastAsia="zh-CN"/>
        </w:rPr>
        <w:t>主要原因是未支付</w:t>
      </w:r>
      <w:r>
        <w:rPr>
          <w:rFonts w:hint="eastAsia" w:ascii="仿宋_GB2312" w:eastAsia="仿宋_GB2312"/>
          <w:b w:val="0"/>
          <w:bCs w:val="0"/>
          <w:sz w:val="32"/>
          <w:szCs w:val="32"/>
          <w:highlight w:val="none"/>
          <w:lang w:val="en-US" w:eastAsia="zh-CN"/>
        </w:rPr>
        <w:t>2023年</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b w:val="0"/>
          <w:bCs w:val="0"/>
          <w:sz w:val="32"/>
          <w:szCs w:val="32"/>
          <w:highlight w:val="none"/>
          <w:lang w:eastAsia="zh-CN"/>
        </w:rPr>
        <w:t>。</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76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2024年浦江邮政管理局其他运转类项目和特定目标类项目均实行绩效目标管理，涉及一般公共预算当年拨款128.8万元，一级项目1个。</w:t>
      </w:r>
    </w:p>
    <w:p>
      <w:pPr>
        <w:pStyle w:val="18"/>
        <w:keepNext w:val="0"/>
        <w:keepLines w:val="0"/>
        <w:pageBreakBefore w:val="0"/>
        <w:kinsoku/>
        <w:wordWrap/>
        <w:overflowPunct/>
        <w:topLinePunct w:val="0"/>
        <w:autoSpaceDE/>
        <w:autoSpaceDN/>
        <w:bidi w:val="0"/>
        <w:adjustRightInd/>
        <w:snapToGrid/>
        <w:spacing w:beforeLines="0" w:afterLines="0" w:line="76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beforeLines="0" w:afterLines="0" w:line="7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autoSpaceDE/>
        <w:autoSpaceDN/>
        <w:bidi w:val="0"/>
        <w:adjustRightInd/>
        <w:snapToGrid/>
        <w:spacing w:line="760" w:lineRule="exact"/>
        <w:textAlignment w:val="auto"/>
        <w:rPr>
          <w:highlight w:val="none"/>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D1337D1-B58C-4F65-86A3-7FB3FDA906D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D61609D-7394-4403-9E5B-F18C6753F50A}"/>
  </w:font>
  <w:font w:name="仿宋_GB2312">
    <w:panose1 w:val="02010609030101010101"/>
    <w:charset w:val="86"/>
    <w:family w:val="modern"/>
    <w:pitch w:val="default"/>
    <w:sig w:usb0="00000001" w:usb1="080E0000" w:usb2="00000000" w:usb3="00000000" w:csb0="00040000" w:csb1="00000000"/>
    <w:embedRegular r:id="rId3" w:fontKey="{8EA052CE-7E44-4F7C-BE93-435B53163421}"/>
  </w:font>
  <w:font w:name="方正小标宋简体">
    <w:panose1 w:val="02000000000000000000"/>
    <w:charset w:val="86"/>
    <w:family w:val="script"/>
    <w:pitch w:val="default"/>
    <w:sig w:usb0="00000001" w:usb1="080E0000" w:usb2="00000000" w:usb3="00000000" w:csb0="00040000" w:csb1="00000000"/>
    <w:embedRegular r:id="rId4" w:fontKey="{FF679A45-E059-4D18-AE01-1A193D802FBC}"/>
  </w:font>
  <w:font w:name="楷体_GB2312">
    <w:panose1 w:val="02010609030101010101"/>
    <w:charset w:val="86"/>
    <w:family w:val="auto"/>
    <w:pitch w:val="default"/>
    <w:sig w:usb0="00000001" w:usb1="080E0000" w:usb2="00000000" w:usb3="00000000" w:csb0="00040000" w:csb1="00000000"/>
    <w:embedRegular r:id="rId5" w:fontKey="{2C432F51-ADD8-4B80-A0CB-ED0504AA83A8}"/>
  </w:font>
  <w:font w:name="楷体">
    <w:panose1 w:val="02010609060101010101"/>
    <w:charset w:val="86"/>
    <w:family w:val="auto"/>
    <w:pitch w:val="default"/>
    <w:sig w:usb0="800002BF" w:usb1="38CF7CFA" w:usb2="00000016" w:usb3="00000000" w:csb0="00040001" w:csb1="00000000"/>
    <w:embedRegular r:id="rId6" w:fontKey="{78D86EFE-5F8D-466C-9E8C-F9172BF2661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1M2JhY2IyNjJlOGI2NzdkZGY5NzE3OGY1Y2EwMTEifQ=="/>
  </w:docVars>
  <w:rsids>
    <w:rsidRoot w:val="00000000"/>
    <w:rsid w:val="022A6B77"/>
    <w:rsid w:val="0432483D"/>
    <w:rsid w:val="068A0AD0"/>
    <w:rsid w:val="0C014F6D"/>
    <w:rsid w:val="0C1228A6"/>
    <w:rsid w:val="11641E21"/>
    <w:rsid w:val="125B4450"/>
    <w:rsid w:val="16EF5067"/>
    <w:rsid w:val="1ED74D17"/>
    <w:rsid w:val="245B3CCB"/>
    <w:rsid w:val="255258CA"/>
    <w:rsid w:val="27AF99D0"/>
    <w:rsid w:val="32FF21F7"/>
    <w:rsid w:val="3787034C"/>
    <w:rsid w:val="3E054CA0"/>
    <w:rsid w:val="3E663D4F"/>
    <w:rsid w:val="3F023CEB"/>
    <w:rsid w:val="3F576225"/>
    <w:rsid w:val="41260B4E"/>
    <w:rsid w:val="4413460B"/>
    <w:rsid w:val="479F1816"/>
    <w:rsid w:val="4AFA32A4"/>
    <w:rsid w:val="54C31518"/>
    <w:rsid w:val="55846458"/>
    <w:rsid w:val="55CF6795"/>
    <w:rsid w:val="56432923"/>
    <w:rsid w:val="5A9F19F9"/>
    <w:rsid w:val="5BF9A05E"/>
    <w:rsid w:val="5CA47F6C"/>
    <w:rsid w:val="62C63198"/>
    <w:rsid w:val="632F3092"/>
    <w:rsid w:val="65F234F7"/>
    <w:rsid w:val="6E5FE9CF"/>
    <w:rsid w:val="714C67B3"/>
    <w:rsid w:val="753064B9"/>
    <w:rsid w:val="759C24D2"/>
    <w:rsid w:val="76442312"/>
    <w:rsid w:val="76DFF3BC"/>
    <w:rsid w:val="770D47D8"/>
    <w:rsid w:val="77FF0865"/>
    <w:rsid w:val="79AD5421"/>
    <w:rsid w:val="7CFB18E8"/>
    <w:rsid w:val="7DBFC2EB"/>
    <w:rsid w:val="7EFFAD84"/>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 Char"/>
    <w:basedOn w:val="1"/>
    <w:link w:val="7"/>
    <w:qFormat/>
    <w:uiPriority w:val="0"/>
    <w:rPr>
      <w:rFonts w:ascii="宋体" w:hAnsi="宋体" w:cs="Courier New"/>
      <w:sz w:val="32"/>
      <w:szCs w:val="32"/>
    </w:rPr>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Char"/>
    <w:basedOn w:val="1"/>
    <w:link w:val="7"/>
    <w:qFormat/>
    <w:uiPriority w:val="0"/>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chengws</dc:creator>
  <cp:lastModifiedBy>邮政管理局文书</cp:lastModifiedBy>
  <cp:lastPrinted>2022-02-12T02:36:00Z</cp:lastPrinted>
  <dcterms:modified xsi:type="dcterms:W3CDTF">2024-03-08T02:53:03Z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3D89AFFBF4EC42C5AB7B68A7DF272BCE_12</vt:lpwstr>
  </property>
</Properties>
</file>