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标题"/>
      <w:r>
        <w:rPr>
          <w:rFonts w:hint="eastAsia" w:ascii="方正小标宋简体" w:eastAsia="方正小标宋简体"/>
          <w:sz w:val="44"/>
          <w:szCs w:val="44"/>
        </w:rPr>
        <w:t>中共浦江县委　浦江县人民政府</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关于推进新时代浦江民政事业</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高质量发展的实施意见</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（征求意见稿）</w:t>
      </w:r>
    </w:p>
    <w:bookmarkEnd w:id="0"/>
    <w:p>
      <w:pPr>
        <w:spacing w:line="560" w:lineRule="exact"/>
        <w:ind w:firstLine="640" w:firstLineChars="200"/>
        <w:rPr>
          <w:rFonts w:eastAsia="楷体_GB2312"/>
          <w:szCs w:val="32"/>
        </w:rPr>
      </w:pPr>
    </w:p>
    <w:p>
      <w:pPr>
        <w:spacing w:line="560" w:lineRule="exact"/>
        <w:rPr>
          <w:rFonts w:ascii="仿宋_GB2312"/>
          <w:sz w:val="24"/>
        </w:rPr>
      </w:pPr>
      <w:r>
        <w:rPr>
          <w:rFonts w:hint="eastAsia"/>
          <w:szCs w:val="32"/>
        </w:rPr>
        <w:t xml:space="preserve">    为深入贯彻习近平总书记关于民政工作的重要指示精神，根据《关于推进新时代民政事业高质量发展的意见》（浙委发〔</w:t>
      </w:r>
      <w:r>
        <w:rPr>
          <w:szCs w:val="32"/>
        </w:rPr>
        <w:t>2019</w:t>
      </w:r>
      <w:r>
        <w:rPr>
          <w:rFonts w:hint="eastAsia"/>
          <w:szCs w:val="32"/>
        </w:rPr>
        <w:t>〕</w:t>
      </w:r>
      <w:r>
        <w:rPr>
          <w:szCs w:val="32"/>
        </w:rPr>
        <w:t>27</w:t>
      </w:r>
      <w:r>
        <w:rPr>
          <w:rFonts w:hint="eastAsia"/>
          <w:szCs w:val="32"/>
        </w:rPr>
        <w:t>号）和</w:t>
      </w:r>
      <w:bookmarkStart w:id="1" w:name="文号"/>
      <w:r>
        <w:rPr>
          <w:rFonts w:hint="eastAsia"/>
          <w:szCs w:val="32"/>
        </w:rPr>
        <w:t>《关于推进新时代金华民政事业高质量发展的意见》（</w:t>
      </w:r>
      <w:r>
        <w:rPr>
          <w:rFonts w:hint="eastAsia"/>
        </w:rPr>
        <w:t>金委发〔2020〕10号</w:t>
      </w:r>
      <w:bookmarkEnd w:id="1"/>
      <w:r>
        <w:rPr>
          <w:rFonts w:hint="eastAsia"/>
          <w:szCs w:val="32"/>
        </w:rPr>
        <w:t>）精神，现提出如下意见：</w:t>
      </w:r>
    </w:p>
    <w:p>
      <w:pPr>
        <w:spacing w:line="560" w:lineRule="exact"/>
        <w:ind w:firstLine="640" w:firstLineChars="200"/>
        <w:rPr>
          <w:rFonts w:eastAsia="黑体"/>
          <w:szCs w:val="32"/>
        </w:rPr>
      </w:pPr>
      <w:r>
        <w:rPr>
          <w:rFonts w:hint="eastAsia" w:eastAsia="黑体"/>
          <w:szCs w:val="32"/>
        </w:rPr>
        <w:t>一、总体要求</w:t>
      </w:r>
    </w:p>
    <w:p>
      <w:pPr>
        <w:spacing w:line="560" w:lineRule="exact"/>
        <w:ind w:firstLine="640" w:firstLineChars="200"/>
        <w:rPr>
          <w:szCs w:val="32"/>
        </w:rPr>
      </w:pPr>
      <w:r>
        <w:rPr>
          <w:rFonts w:hint="eastAsia"/>
          <w:szCs w:val="32"/>
        </w:rPr>
        <w:t>坚持以习近平新时代中国特色社会主义思想为指导，认真贯彻“民政为民、民政爱民”工作理念，</w:t>
      </w:r>
      <w:r>
        <w:rPr>
          <w:rFonts w:hint="eastAsia"/>
          <w:color w:val="000000" w:themeColor="text1"/>
          <w:szCs w:val="32"/>
          <w14:textFill>
            <w14:solidFill>
              <w14:schemeClr w14:val="tx1"/>
            </w14:solidFill>
          </w14:textFill>
        </w:rPr>
        <w:t>紧紧围绕“营商环境、项目招引、创新发展”三大攻坚年活动，扎实做好民政领域“六稳”“六保”工作，大力推动社会治理再提升、民生福祉再改善、兜底保障再强化、营商环境再优化、改革创新再深化，持之以恒、持续发力，</w:t>
      </w:r>
      <w:r>
        <w:rPr>
          <w:rFonts w:hint="eastAsia"/>
          <w:szCs w:val="32"/>
        </w:rPr>
        <w:t>为浙江建设“重要窗口”添光增彩。到</w:t>
      </w:r>
      <w:r>
        <w:rPr>
          <w:szCs w:val="32"/>
        </w:rPr>
        <w:t>2022</w:t>
      </w:r>
      <w:r>
        <w:rPr>
          <w:rFonts w:hint="eastAsia"/>
          <w:szCs w:val="32"/>
        </w:rPr>
        <w:t>年，全县最低生活保障标准达到10000元以上，全面实现社会救助城乡统筹；乡镇（街道）居家养老服务中心实现全覆盖，护理型床位占机构床位的</w:t>
      </w:r>
      <w:r>
        <w:rPr>
          <w:szCs w:val="32"/>
        </w:rPr>
        <w:t>55%</w:t>
      </w:r>
      <w:r>
        <w:rPr>
          <w:rFonts w:hint="eastAsia"/>
          <w:szCs w:val="32"/>
        </w:rPr>
        <w:t>以上；每万人拥有登记和备案社会组织达到</w:t>
      </w:r>
      <w:r>
        <w:rPr>
          <w:szCs w:val="32"/>
        </w:rPr>
        <w:t>38</w:t>
      </w:r>
      <w:r>
        <w:rPr>
          <w:rFonts w:hint="eastAsia"/>
          <w:szCs w:val="32"/>
        </w:rPr>
        <w:t>个，持证社会工作专业人才达到</w:t>
      </w:r>
      <w:r>
        <w:rPr>
          <w:rFonts w:hint="eastAsia" w:ascii="仿宋_GB2312"/>
          <w:szCs w:val="32"/>
        </w:rPr>
        <w:t>我县常住人口比例达万分之十</w:t>
      </w:r>
      <w:r>
        <w:rPr>
          <w:rFonts w:hint="eastAsia"/>
          <w:szCs w:val="32"/>
        </w:rPr>
        <w:t>；全县节地生态安葬率达到</w:t>
      </w:r>
      <w:r>
        <w:rPr>
          <w:rFonts w:hint="eastAsia"/>
          <w:color w:val="000000" w:themeColor="text1"/>
          <w:szCs w:val="32"/>
          <w14:textFill>
            <w14:solidFill>
              <w14:schemeClr w14:val="tx1"/>
            </w14:solidFill>
          </w14:textFill>
        </w:rPr>
        <w:t>75</w:t>
      </w:r>
      <w:r>
        <w:rPr>
          <w:color w:val="000000" w:themeColor="text1"/>
          <w:szCs w:val="32"/>
          <w14:textFill>
            <w14:solidFill>
              <w14:schemeClr w14:val="tx1"/>
            </w14:solidFill>
          </w14:textFill>
        </w:rPr>
        <w:t>%</w:t>
      </w:r>
      <w:r>
        <w:rPr>
          <w:rFonts w:hint="eastAsia"/>
          <w:szCs w:val="32"/>
        </w:rPr>
        <w:t>以上。</w:t>
      </w:r>
    </w:p>
    <w:p>
      <w:pPr>
        <w:spacing w:line="560" w:lineRule="exact"/>
        <w:ind w:firstLine="640" w:firstLineChars="200"/>
        <w:rPr>
          <w:rFonts w:eastAsia="黑体"/>
          <w:szCs w:val="32"/>
        </w:rPr>
      </w:pPr>
      <w:r>
        <w:rPr>
          <w:rFonts w:hint="eastAsia" w:eastAsia="黑体"/>
          <w:szCs w:val="32"/>
        </w:rPr>
        <w:t>二、大力实施“智慧救助”，更好确保精准高效</w:t>
      </w:r>
    </w:p>
    <w:p>
      <w:pPr>
        <w:spacing w:line="560" w:lineRule="exact"/>
        <w:ind w:firstLine="640" w:firstLineChars="200"/>
        <w:rPr>
          <w:rFonts w:hint="eastAsia" w:eastAsia="楷体_GB2312"/>
          <w:color w:val="FF0000"/>
          <w:szCs w:val="32"/>
        </w:rPr>
      </w:pPr>
      <w:r>
        <w:rPr>
          <w:rFonts w:hint="eastAsia" w:eastAsia="楷体_GB2312"/>
          <w:szCs w:val="32"/>
        </w:rPr>
        <w:t>（一）完善救助体系。</w:t>
      </w:r>
      <w:r>
        <w:rPr>
          <w:rFonts w:hint="eastAsia"/>
          <w:szCs w:val="32"/>
        </w:rPr>
        <w:t>统筹推进“</w:t>
      </w:r>
      <w:r>
        <w:rPr>
          <w:szCs w:val="32"/>
        </w:rPr>
        <w:t>1+8+X</w:t>
      </w:r>
      <w:r>
        <w:rPr>
          <w:rFonts w:hint="eastAsia"/>
          <w:szCs w:val="32"/>
        </w:rPr>
        <w:t>”大救助体系建设，加快全省大救助信息平台落地运行，形成精准高效的社会救助新机制。推进社会救助与社会福利、社会保险、优抚安置、扶残助残、扶贫政策配套衔接。试点低保救助对象由户籍人口向常住人口拓展。</w:t>
      </w:r>
      <w:r>
        <w:rPr>
          <w:rFonts w:hint="eastAsia" w:eastAsia="楷体_GB2312"/>
          <w:szCs w:val="32"/>
        </w:rPr>
        <w:t>（县社会救助工作联席会议成员单位）</w:t>
      </w:r>
      <w:r>
        <w:rPr>
          <w:rFonts w:hint="eastAsia"/>
          <w:szCs w:val="32"/>
        </w:rPr>
        <w:t>对接省级大救助信息平台，完善家庭经济状况信息核对，探索开展社会救助异地申请服务。</w:t>
      </w:r>
      <w:r>
        <w:rPr>
          <w:rFonts w:hint="eastAsia" w:eastAsia="楷体_GB2312"/>
          <w:szCs w:val="32"/>
        </w:rPr>
        <w:t>（县民政局、县大数据局）</w:t>
      </w:r>
      <w:r>
        <w:rPr>
          <w:rFonts w:hint="eastAsia"/>
          <w:szCs w:val="32"/>
        </w:rPr>
        <w:t>全面推行支出型贫困救助，加大医疗、教育等专项救助，扶持专业化社会组织承接社会救助工作。</w:t>
      </w:r>
      <w:r>
        <w:rPr>
          <w:rFonts w:hint="eastAsia" w:eastAsia="楷体_GB2312"/>
          <w:szCs w:val="32"/>
        </w:rPr>
        <w:t>（县民政局、县教育局、县医保局、县财政局）</w:t>
      </w:r>
      <w:r>
        <w:rPr>
          <w:rFonts w:hint="eastAsia"/>
          <w:szCs w:val="32"/>
        </w:rPr>
        <w:t>进一步量化救助范围、细化救助标准、简化救助流程，突出临时救助“救急、救难”的作用。</w:t>
      </w:r>
      <w:r>
        <w:rPr>
          <w:rFonts w:hint="eastAsia" w:eastAsia="楷体_GB2312"/>
          <w:szCs w:val="32"/>
        </w:rPr>
        <w:t>（县民政局）</w:t>
      </w:r>
    </w:p>
    <w:p>
      <w:pPr>
        <w:spacing w:line="560" w:lineRule="exact"/>
        <w:ind w:firstLine="640" w:firstLineChars="200"/>
        <w:rPr>
          <w:rFonts w:eastAsia="楷体_GB2312"/>
          <w:szCs w:val="32"/>
        </w:rPr>
      </w:pPr>
      <w:r>
        <w:rPr>
          <w:rFonts w:hint="eastAsia" w:eastAsia="楷体_GB2312"/>
          <w:szCs w:val="32"/>
        </w:rPr>
        <w:t>（二）</w:t>
      </w:r>
      <w:r>
        <w:rPr>
          <w:rFonts w:hint="eastAsia" w:eastAsia="楷体_GB2312"/>
          <w:color w:val="000000" w:themeColor="text1"/>
          <w:szCs w:val="32"/>
          <w14:textFill>
            <w14:solidFill>
              <w14:schemeClr w14:val="tx1"/>
            </w14:solidFill>
          </w14:textFill>
        </w:rPr>
        <w:t>增强兜底保障。</w:t>
      </w:r>
      <w:r>
        <w:rPr>
          <w:rFonts w:hint="eastAsia"/>
          <w:color w:val="000000" w:themeColor="text1"/>
          <w:szCs w:val="32"/>
          <w14:textFill>
            <w14:solidFill>
              <w14:schemeClr w14:val="tx1"/>
            </w14:solidFill>
          </w14:textFill>
        </w:rPr>
        <w:t>推进低收入农户和低保边缘家庭经济状况认定标准“两线合一”，实现数据共享、社会救助与扶贫政策相互贯通。实施低保、低保边缘家庭一年渐退制度，稳定增收后再退出救助</w:t>
      </w:r>
      <w:r>
        <w:rPr>
          <w:rFonts w:hint="eastAsia"/>
          <w:szCs w:val="32"/>
        </w:rPr>
        <w:t>范围。</w:t>
      </w:r>
      <w:r>
        <w:rPr>
          <w:rFonts w:hint="eastAsia" w:eastAsia="楷体_GB2312"/>
          <w:szCs w:val="32"/>
        </w:rPr>
        <w:t>（县农业农村局、县民政局）</w:t>
      </w:r>
      <w:r>
        <w:rPr>
          <w:rFonts w:hint="eastAsia"/>
          <w:szCs w:val="32"/>
        </w:rPr>
        <w:t>完善困难群众物价补贴机制。</w:t>
      </w:r>
      <w:r>
        <w:rPr>
          <w:rFonts w:hint="eastAsia" w:eastAsia="楷体_GB2312"/>
          <w:szCs w:val="32"/>
        </w:rPr>
        <w:t>（县民政局、县发改局、县财政局）</w:t>
      </w:r>
      <w:r>
        <w:rPr>
          <w:rFonts w:hint="eastAsia"/>
          <w:szCs w:val="32"/>
        </w:rPr>
        <w:t>建立多维度贫困指标测算和家境调查体系，落实困难家庭重病患者、重度残疾人</w:t>
      </w:r>
      <w:r>
        <w:rPr>
          <w:color w:val="000000" w:themeColor="text1"/>
          <w:szCs w:val="32"/>
          <w:lang w:bidi="en-US"/>
          <w14:textFill>
            <w14:solidFill>
              <w14:schemeClr w14:val="tx1"/>
            </w14:solidFill>
          </w14:textFill>
        </w:rPr>
        <w:t>及成年三、四级精神智力残疾人</w:t>
      </w:r>
      <w:r>
        <w:rPr>
          <w:rFonts w:hint="eastAsia"/>
          <w:color w:val="000000" w:themeColor="text1"/>
          <w:szCs w:val="32"/>
          <w14:textFill>
            <w14:solidFill>
              <w14:schemeClr w14:val="tx1"/>
            </w14:solidFill>
          </w14:textFill>
        </w:rPr>
        <w:t>单独列户纳入低保范围。（</w:t>
      </w:r>
      <w:r>
        <w:rPr>
          <w:rFonts w:hint="eastAsia" w:eastAsia="楷体_GB2312"/>
          <w:color w:val="000000" w:themeColor="text1"/>
          <w:szCs w:val="32"/>
          <w14:textFill>
            <w14:solidFill>
              <w14:schemeClr w14:val="tx1"/>
            </w14:solidFill>
          </w14:textFill>
        </w:rPr>
        <w:t>县</w:t>
      </w:r>
      <w:r>
        <w:rPr>
          <w:rFonts w:hint="eastAsia" w:eastAsia="楷体_GB2312"/>
          <w:szCs w:val="32"/>
        </w:rPr>
        <w:t>民政局、县残联、县医保局）</w:t>
      </w:r>
      <w:r>
        <w:rPr>
          <w:rFonts w:hint="eastAsia"/>
          <w:szCs w:val="32"/>
        </w:rPr>
        <w:t>加大产业扶贫等领域金融支持力度，降低融资成本。</w:t>
      </w:r>
      <w:r>
        <w:rPr>
          <w:rFonts w:hint="eastAsia" w:eastAsia="楷体_GB2312"/>
          <w:szCs w:val="32"/>
        </w:rPr>
        <w:t>（人行浦江县中心支行）</w:t>
      </w:r>
    </w:p>
    <w:p>
      <w:pPr>
        <w:spacing w:line="560" w:lineRule="exact"/>
        <w:ind w:firstLine="640" w:firstLineChars="200"/>
        <w:rPr>
          <w:szCs w:val="32"/>
          <w:lang w:bidi="zh-TW"/>
        </w:rPr>
      </w:pPr>
      <w:r>
        <w:rPr>
          <w:rFonts w:hint="eastAsia" w:eastAsia="楷体_GB2312"/>
          <w:szCs w:val="32"/>
        </w:rPr>
        <w:t>（三）优化特殊群体关爱。</w:t>
      </w:r>
      <w:r>
        <w:rPr>
          <w:rFonts w:hint="eastAsia"/>
          <w:szCs w:val="32"/>
        </w:rPr>
        <w:t>提升孤儿和困境儿童基本生活保障标准，加快儿童福利设施建设，</w:t>
      </w:r>
      <w:r>
        <w:rPr>
          <w:szCs w:val="32"/>
          <w:lang w:bidi="zh-TW"/>
        </w:rPr>
        <w:t>发挥县</w:t>
      </w:r>
      <w:r>
        <w:rPr>
          <w:rFonts w:hint="eastAsia"/>
          <w:szCs w:val="32"/>
          <w:lang w:bidi="zh-TW"/>
        </w:rPr>
        <w:t>儿童福利指导</w:t>
      </w:r>
      <w:r>
        <w:rPr>
          <w:szCs w:val="32"/>
          <w:lang w:bidi="zh-TW"/>
        </w:rPr>
        <w:t>中心服务能力，将儿童福利工作纵向延伸至</w:t>
      </w:r>
      <w:r>
        <w:rPr>
          <w:rFonts w:hint="eastAsia"/>
          <w:szCs w:val="32"/>
          <w:lang w:bidi="zh-TW"/>
        </w:rPr>
        <w:t>乡镇</w:t>
      </w:r>
      <w:r>
        <w:rPr>
          <w:szCs w:val="32"/>
          <w:lang w:bidi="zh-TW"/>
        </w:rPr>
        <w:t>（街道）及村一级，到2022年, 实现</w:t>
      </w:r>
      <w:r>
        <w:rPr>
          <w:rFonts w:hint="eastAsia"/>
          <w:szCs w:val="32"/>
          <w:lang w:bidi="zh-TW"/>
        </w:rPr>
        <w:t>乡镇</w:t>
      </w:r>
      <w:r>
        <w:rPr>
          <w:szCs w:val="32"/>
          <w:lang w:bidi="zh-TW"/>
        </w:rPr>
        <w:t>（街道）儿童福利服务站和村（社区）儿童之家全覆盖。配好配强儿童督导员、“儿童主任”等，通过政府购买服务等形式 解决服务报酬。</w:t>
      </w:r>
      <w:r>
        <w:rPr>
          <w:rFonts w:hint="eastAsia" w:eastAsia="楷体_GB2312"/>
          <w:szCs w:val="32"/>
        </w:rPr>
        <w:t>（县民政局、县财政局、县发改委、县自然资源局、县残联、县卫生健康局）</w:t>
      </w:r>
      <w:r>
        <w:rPr>
          <w:rFonts w:hint="eastAsia"/>
          <w:szCs w:val="32"/>
        </w:rPr>
        <w:t>完善困难残疾人生活补贴和重度残疾人护理补贴动态调整机制。加快残疾人服务设施建设，建设县级残疾人托养中心，到2022年，全县人口相对集聚的1万人以上的乡镇（街道）建有1家规范化“残疾人之家”。加强残疾人辅助性就业机构建设，推进残疾人集中就业。</w:t>
      </w:r>
      <w:r>
        <w:rPr>
          <w:rFonts w:hint="eastAsia" w:eastAsia="楷体_GB2312"/>
          <w:szCs w:val="32"/>
        </w:rPr>
        <w:t>（县残联、县财政局、县民政局、县卫生健康局、县医保局、县税</w:t>
      </w:r>
      <w:r>
        <w:rPr>
          <w:rFonts w:hint="eastAsia" w:eastAsia="楷体_GB2312"/>
          <w:color w:val="000000" w:themeColor="text1"/>
          <w:szCs w:val="32"/>
          <w14:textFill>
            <w14:solidFill>
              <w14:schemeClr w14:val="tx1"/>
            </w14:solidFill>
          </w14:textFill>
        </w:rPr>
        <w:t>务局、县人力社保局）</w:t>
      </w:r>
      <w:r>
        <w:rPr>
          <w:rFonts w:hint="eastAsia"/>
          <w:color w:val="000000" w:themeColor="text1"/>
          <w:szCs w:val="32"/>
          <w14:textFill>
            <w14:solidFill>
              <w14:schemeClr w14:val="tx1"/>
            </w14:solidFill>
          </w14:textFill>
        </w:rPr>
        <w:t>完善生活无着流浪乞讨人员救助管理体系，纳入平安浦江建设。加大救助管理机构设施升级改造投入，规范救助程序，完善联动机制，加大寻亲力度，加强流浪返乡人员网格化管理，</w:t>
      </w:r>
      <w:r>
        <w:rPr>
          <w:color w:val="000000" w:themeColor="text1"/>
          <w:szCs w:val="32"/>
          <w:lang w:bidi="en-US"/>
          <w14:textFill>
            <w14:solidFill>
              <w14:schemeClr w14:val="tx1"/>
            </w14:solidFill>
          </w14:textFill>
        </w:rPr>
        <w:t>落实长期滞留人员落户安置政策</w:t>
      </w:r>
      <w:r>
        <w:rPr>
          <w:rFonts w:hint="eastAsia"/>
          <w:color w:val="000000" w:themeColor="text1"/>
          <w:szCs w:val="32"/>
          <w14:textFill>
            <w14:solidFill>
              <w14:schemeClr w14:val="tx1"/>
            </w14:solidFill>
          </w14:textFill>
        </w:rPr>
        <w:t>。</w:t>
      </w:r>
      <w:r>
        <w:rPr>
          <w:rFonts w:hint="eastAsia" w:eastAsia="楷体_GB2312"/>
          <w:color w:val="000000" w:themeColor="text1"/>
          <w:szCs w:val="32"/>
          <w14:textFill>
            <w14:solidFill>
              <w14:schemeClr w14:val="tx1"/>
            </w14:solidFill>
          </w14:textFill>
        </w:rPr>
        <w:t>（县民政局、</w:t>
      </w:r>
      <w:r>
        <w:rPr>
          <w:rFonts w:hint="eastAsia" w:eastAsia="楷体_GB2312"/>
          <w:szCs w:val="32"/>
        </w:rPr>
        <w:t>县委政法委、县发改委、县公安局、县财政局）</w:t>
      </w:r>
    </w:p>
    <w:p>
      <w:pPr>
        <w:spacing w:line="560" w:lineRule="exact"/>
        <w:ind w:firstLine="640" w:firstLineChars="200"/>
        <w:rPr>
          <w:rFonts w:eastAsia="楷体_GB2312"/>
          <w:szCs w:val="32"/>
        </w:rPr>
      </w:pPr>
      <w:r>
        <w:rPr>
          <w:rFonts w:hint="eastAsia" w:eastAsia="楷体_GB2312"/>
          <w:szCs w:val="32"/>
        </w:rPr>
        <w:t>（四）加强农村“三留守”人员关爱照护。</w:t>
      </w:r>
      <w:r>
        <w:rPr>
          <w:rFonts w:hint="eastAsia"/>
          <w:szCs w:val="32"/>
        </w:rPr>
        <w:t>开展农村</w:t>
      </w:r>
      <w:r>
        <w:rPr>
          <w:szCs w:val="32"/>
          <w:lang w:bidi="en-US"/>
        </w:rPr>
        <w:t>留守儿童、留守妇女、留守老人</w:t>
      </w:r>
      <w:r>
        <w:rPr>
          <w:rFonts w:hint="eastAsia"/>
          <w:szCs w:val="32"/>
        </w:rPr>
        <w:t>排查，建立信息管理系统</w:t>
      </w:r>
      <w:r>
        <w:rPr>
          <w:szCs w:val="32"/>
          <w:lang w:bidi="en-US"/>
        </w:rPr>
        <w:t>和巡访帮扶长效机制。</w:t>
      </w:r>
      <w:r>
        <w:rPr>
          <w:rFonts w:hint="eastAsia" w:eastAsia="楷体_GB2312"/>
          <w:szCs w:val="32"/>
        </w:rPr>
        <w:t>（县民政局、县委政法委、县教育局、县公安局、县农业农村局、县妇联）</w:t>
      </w:r>
      <w:r>
        <w:rPr>
          <w:rFonts w:hint="eastAsia"/>
          <w:szCs w:val="32"/>
        </w:rPr>
        <w:t>加强农村文体设施建设，丰富留守人员精神文化生活。</w:t>
      </w:r>
      <w:r>
        <w:rPr>
          <w:rFonts w:hint="eastAsia" w:eastAsia="楷体_GB2312"/>
          <w:szCs w:val="32"/>
        </w:rPr>
        <w:t>（县文明办、县文广旅体局）</w:t>
      </w:r>
      <w:r>
        <w:rPr>
          <w:szCs w:val="32"/>
          <w:lang w:bidi="en-US"/>
        </w:rPr>
        <w:t>充分发挥基层妇联组织的积极作用，鼓励农村公益岗位向符合条件的留守妇女倾斜。</w:t>
      </w:r>
      <w:r>
        <w:rPr>
          <w:rFonts w:hint="eastAsia" w:eastAsia="楷体_GB2312"/>
          <w:szCs w:val="32"/>
        </w:rPr>
        <w:t>（县民政局、县财政局、县妇联）</w:t>
      </w:r>
    </w:p>
    <w:p>
      <w:pPr>
        <w:spacing w:line="560" w:lineRule="exact"/>
        <w:ind w:firstLine="640" w:firstLineChars="200"/>
        <w:rPr>
          <w:rFonts w:eastAsia="楷体_GB2312"/>
          <w:szCs w:val="32"/>
        </w:rPr>
      </w:pPr>
      <w:r>
        <w:rPr>
          <w:rFonts w:hint="eastAsia" w:eastAsia="楷体_GB2312"/>
          <w:szCs w:val="32"/>
        </w:rPr>
        <w:t>（五）打造现代慈善高地。</w:t>
      </w:r>
      <w:r>
        <w:rPr>
          <w:rFonts w:hint="eastAsia"/>
          <w:szCs w:val="32"/>
        </w:rPr>
        <w:t>建立完善慈善救助体制机制，引导慈善资源合理流动，推动“互联网</w:t>
      </w:r>
      <w:r>
        <w:rPr>
          <w:szCs w:val="32"/>
        </w:rPr>
        <w:t>+</w:t>
      </w:r>
      <w:r>
        <w:rPr>
          <w:rFonts w:hint="eastAsia"/>
          <w:szCs w:val="32"/>
        </w:rPr>
        <w:t>慈善”“社工</w:t>
      </w:r>
      <w:r>
        <w:rPr>
          <w:szCs w:val="32"/>
        </w:rPr>
        <w:t>+</w:t>
      </w:r>
      <w:r>
        <w:rPr>
          <w:rFonts w:hint="eastAsia"/>
          <w:szCs w:val="32"/>
        </w:rPr>
        <w:t>慈善”发展。加大慈善宣传力度，稳定慈善工作者队伍。国有企业积极履行社会责任，主动参与慈善捐赠。</w:t>
      </w:r>
      <w:r>
        <w:rPr>
          <w:rFonts w:hint="eastAsia" w:eastAsia="楷体_GB2312"/>
          <w:szCs w:val="32"/>
        </w:rPr>
        <w:t>（县民政局、</w:t>
      </w:r>
      <w:r>
        <w:rPr>
          <w:rFonts w:hint="eastAsia" w:eastAsia="楷体_GB2312"/>
          <w:color w:val="000000" w:themeColor="text1"/>
          <w:szCs w:val="32"/>
          <w14:textFill>
            <w14:solidFill>
              <w14:schemeClr w14:val="tx1"/>
            </w14:solidFill>
          </w14:textFill>
        </w:rPr>
        <w:t>县网信办</w:t>
      </w:r>
      <w:r>
        <w:rPr>
          <w:rFonts w:hint="eastAsia" w:eastAsia="楷体_GB2312"/>
          <w:szCs w:val="32"/>
        </w:rPr>
        <w:t>、县财政局、县国资办、县工商联、县慈善总会、县红十字会）</w:t>
      </w:r>
      <w:r>
        <w:rPr>
          <w:rFonts w:hint="eastAsia"/>
          <w:szCs w:val="32"/>
        </w:rPr>
        <w:t>推进慈善基地创建，深化“慈善一日捐”活动，打造浦江慈善品牌。建立激励机制，引导慈善力量参与脱贫攻坚和东西部扶贫协作。</w:t>
      </w:r>
      <w:r>
        <w:rPr>
          <w:rFonts w:hint="eastAsia" w:eastAsia="楷体_GB2312"/>
          <w:szCs w:val="32"/>
        </w:rPr>
        <w:t>（县民政局、县红十字会、县慈善总会）</w:t>
      </w:r>
    </w:p>
    <w:p>
      <w:pPr>
        <w:spacing w:line="560" w:lineRule="exact"/>
        <w:ind w:firstLine="640" w:firstLineChars="200"/>
        <w:rPr>
          <w:rFonts w:eastAsia="黑体"/>
          <w:szCs w:val="32"/>
        </w:rPr>
      </w:pPr>
      <w:r>
        <w:rPr>
          <w:rFonts w:hint="eastAsia" w:eastAsia="黑体"/>
          <w:szCs w:val="32"/>
        </w:rPr>
        <w:t>三、大力实施“智慧治理”，更好实现共建共享</w:t>
      </w:r>
    </w:p>
    <w:p>
      <w:pPr>
        <w:spacing w:line="560" w:lineRule="exact"/>
        <w:ind w:firstLine="640" w:firstLineChars="200"/>
        <w:rPr>
          <w:rFonts w:ascii="仿宋" w:hAnsi="仿宋" w:eastAsia="仿宋" w:cs="仿宋"/>
          <w:color w:val="0000FF"/>
          <w:kern w:val="0"/>
          <w:szCs w:val="32"/>
          <w:lang w:bidi="ar"/>
        </w:rPr>
      </w:pPr>
      <w:r>
        <w:rPr>
          <w:rFonts w:hint="eastAsia" w:eastAsia="楷体_GB2312"/>
          <w:szCs w:val="32"/>
        </w:rPr>
        <w:t>（六）规范基层群众自治。</w:t>
      </w:r>
      <w:r>
        <w:rPr>
          <w:rFonts w:hint="eastAsia" w:ascii="仿宋" w:hAnsi="仿宋" w:eastAsia="仿宋" w:cs="仿宋"/>
          <w:kern w:val="0"/>
          <w:szCs w:val="32"/>
          <w:lang w:bidi="ar"/>
        </w:rPr>
        <w:t>健全基层党组织领导、基层政府主导的多方参与、共同治理的城乡社区治理体系。深化“后陈经验”，落实村级事务工作流程32条，推进村务监督指南标准化、规范化建设。巩固完善基层网格员、民情民访代办员等制度。推进行政村规模调整“后半篇”文章，加强新村组织建设和融合发展。</w:t>
      </w:r>
      <w:r>
        <w:rPr>
          <w:rFonts w:hint="eastAsia" w:ascii="楷体" w:hAnsi="楷体" w:eastAsia="楷体" w:cs="楷体"/>
          <w:szCs w:val="32"/>
        </w:rPr>
        <w:t>（县委组织部、县纪委、县委政法委、县委宣传部、县民政局、县农业农村局）</w:t>
      </w:r>
      <w:r>
        <w:rPr>
          <w:rFonts w:hint="eastAsia" w:ascii="仿宋" w:hAnsi="仿宋" w:eastAsia="仿宋" w:cs="仿宋"/>
          <w:kern w:val="0"/>
          <w:szCs w:val="32"/>
          <w:lang w:bidi="ar"/>
        </w:rPr>
        <w:t>依法依规，平稳有序安静，做好省级村（社区）组织换届试点工作，高质量完成新一届村（社区）组织换届选举，修订完善村规民约（社区公约）。</w:t>
      </w:r>
      <w:r>
        <w:rPr>
          <w:rFonts w:hint="eastAsia" w:ascii="楷体" w:hAnsi="楷体" w:eastAsia="楷体" w:cs="楷体"/>
          <w:szCs w:val="32"/>
        </w:rPr>
        <w:t>（县委组织部、县民政局、县司法局、县农业农村局）</w:t>
      </w:r>
    </w:p>
    <w:p>
      <w:pPr>
        <w:spacing w:line="560" w:lineRule="exact"/>
        <w:ind w:firstLine="640" w:firstLineChars="200"/>
        <w:rPr>
          <w:rFonts w:eastAsia="楷体_GB2312"/>
          <w:szCs w:val="32"/>
        </w:rPr>
      </w:pPr>
      <w:r>
        <w:rPr>
          <w:rFonts w:hint="eastAsia" w:eastAsia="楷体_GB2312"/>
          <w:szCs w:val="32"/>
        </w:rPr>
        <w:t>（七）提升社区治理水平。</w:t>
      </w:r>
      <w:r>
        <w:rPr>
          <w:rFonts w:hint="eastAsia"/>
          <w:szCs w:val="32"/>
        </w:rPr>
        <w:t>全面落实《关于进一步加强社区建设保障的实施意见》，按照城市社区服务用房总面积在县城建成区不少于800平方米，县城建成区外不少于500平方米标准，到2022年全部配建到位，着力打造未来社区“居民会客厅”。开展村（社）活动场所新建和提升改造。</w:t>
      </w:r>
      <w:r>
        <w:rPr>
          <w:rFonts w:hint="eastAsia" w:eastAsia="楷体_GB2312"/>
          <w:szCs w:val="32"/>
        </w:rPr>
        <w:t>（县委组织部、县发改委、县民政局、县财政局、县自然资源局、县农业农村局、县建设局、县国资办）</w:t>
      </w:r>
      <w:r>
        <w:rPr>
          <w:szCs w:val="32"/>
        </w:rPr>
        <w:t>健全完善城乡社区公共卫生应急管理机制，提高社区应对重大突发公共卫生事件能力。</w:t>
      </w:r>
      <w:r>
        <w:rPr>
          <w:rFonts w:hint="eastAsia" w:eastAsia="楷体_GB2312"/>
          <w:szCs w:val="32"/>
        </w:rPr>
        <w:t>（县卫生健康局）</w:t>
      </w:r>
      <w:r>
        <w:rPr>
          <w:rFonts w:hint="eastAsia"/>
          <w:szCs w:val="32"/>
        </w:rPr>
        <w:t>加强专职社区工作者招录、管理和考核等制度建设，落实和完善“三岗十八级”薪酬保障制度。注重从连续任社区主职满</w:t>
      </w:r>
      <w:r>
        <w:rPr>
          <w:szCs w:val="32"/>
        </w:rPr>
        <w:t>5</w:t>
      </w:r>
      <w:r>
        <w:rPr>
          <w:rFonts w:hint="eastAsia"/>
          <w:szCs w:val="32"/>
        </w:rPr>
        <w:t>年、表现优秀的社区党组织书记中招录街道（乡镇）公务员、事业编制人员。通过竞争性选拔等方式把优秀社区党组织书记选拔到街道（乡镇）领导岗位。社区工作者每人每年集中培训不少于</w:t>
      </w:r>
      <w:r>
        <w:rPr>
          <w:szCs w:val="32"/>
        </w:rPr>
        <w:t>3</w:t>
      </w:r>
      <w:r>
        <w:rPr>
          <w:rFonts w:hint="eastAsia"/>
          <w:szCs w:val="32"/>
        </w:rPr>
        <w:t>天。</w:t>
      </w:r>
      <w:r>
        <w:rPr>
          <w:rFonts w:hint="eastAsia" w:eastAsia="楷体_GB2312"/>
          <w:szCs w:val="32"/>
        </w:rPr>
        <w:t>（县委组织部、县民政局、县委编办、县人力社保局、县财政局）</w:t>
      </w:r>
    </w:p>
    <w:p>
      <w:pPr>
        <w:spacing w:line="560" w:lineRule="exact"/>
        <w:ind w:firstLine="640" w:firstLineChars="200"/>
        <w:rPr>
          <w:rFonts w:eastAsia="楷体_GB2312"/>
          <w:szCs w:val="32"/>
        </w:rPr>
      </w:pPr>
      <w:r>
        <w:rPr>
          <w:rFonts w:hint="eastAsia" w:eastAsia="楷体_GB2312"/>
          <w:szCs w:val="32"/>
        </w:rPr>
        <w:t>（八）激发社会组织活力。</w:t>
      </w:r>
      <w:r>
        <w:rPr>
          <w:rFonts w:hint="eastAsia"/>
          <w:szCs w:val="32"/>
        </w:rPr>
        <w:t>加大支持力度，统筹一般公共预算资金、福利彩票公益金等专项用于社会组织的培育发展和能力提升。重点支持枢纽型社会组织、社区社会组织和慈善组织等建设，</w:t>
      </w:r>
      <w:r>
        <w:rPr>
          <w:rFonts w:hint="eastAsia" w:cs="仿宋_GB2312"/>
          <w:szCs w:val="32"/>
        </w:rPr>
        <w:t>不断完善社会组织培育扶持体系，</w:t>
      </w:r>
      <w:r>
        <w:rPr>
          <w:rFonts w:hint="eastAsia"/>
          <w:szCs w:val="32"/>
        </w:rPr>
        <w:t>有计划培育</w:t>
      </w:r>
      <w:r>
        <w:rPr>
          <w:rFonts w:hint="eastAsia"/>
          <w:color w:val="000000" w:themeColor="text1"/>
          <w:szCs w:val="32"/>
          <w14:textFill>
            <w14:solidFill>
              <w14:schemeClr w14:val="tx1"/>
            </w14:solidFill>
          </w14:textFill>
        </w:rPr>
        <w:t>一批本土品</w:t>
      </w:r>
      <w:r>
        <w:rPr>
          <w:rFonts w:hint="eastAsia"/>
          <w:szCs w:val="32"/>
        </w:rPr>
        <w:t>牌公益服务项目、1家品牌组织和2名领军人物。</w:t>
      </w:r>
      <w:r>
        <w:rPr>
          <w:rFonts w:hint="eastAsia" w:eastAsia="楷体_GB2312"/>
          <w:szCs w:val="32"/>
        </w:rPr>
        <w:t>（县财政局、县民政局、县机关事务局、县人力社保局）</w:t>
      </w:r>
      <w:r>
        <w:rPr>
          <w:rFonts w:hint="eastAsia"/>
          <w:szCs w:val="32"/>
        </w:rPr>
        <w:t>优化登记流程，健全党建工作机制、业务主管单位（党建工作机构）对拟任负责人审核制度。深化行业协会商会脱钩改革，建立秘书长专职化制度，健全社会组织监管体制机制。</w:t>
      </w:r>
      <w:r>
        <w:rPr>
          <w:rFonts w:hint="eastAsia" w:eastAsia="楷体_GB2312"/>
          <w:szCs w:val="32"/>
        </w:rPr>
        <w:t>（县委组织部、县民政局、县级有关行业管理部门）</w:t>
      </w:r>
      <w:r>
        <w:rPr>
          <w:rFonts w:hint="eastAsia"/>
          <w:szCs w:val="32"/>
        </w:rPr>
        <w:t>政府新增公共服务支出通过政府购买服务安排的部分，向社会组织购买的比例原则上不低于</w:t>
      </w:r>
      <w:r>
        <w:rPr>
          <w:szCs w:val="32"/>
        </w:rPr>
        <w:t>30%</w:t>
      </w:r>
      <w:r>
        <w:rPr>
          <w:rFonts w:hint="eastAsia"/>
          <w:szCs w:val="32"/>
        </w:rPr>
        <w:t>。</w:t>
      </w:r>
      <w:r>
        <w:rPr>
          <w:rFonts w:hint="eastAsia" w:eastAsia="楷体_GB2312"/>
          <w:szCs w:val="32"/>
        </w:rPr>
        <w:t>（县财政局、县委编办、县民政局）</w:t>
      </w:r>
    </w:p>
    <w:p>
      <w:pPr>
        <w:spacing w:line="560" w:lineRule="exact"/>
        <w:ind w:firstLine="640" w:firstLineChars="200"/>
        <w:rPr>
          <w:rFonts w:eastAsia="楷体_GB2312"/>
          <w:szCs w:val="32"/>
          <w:shd w:val="clear" w:color="auto" w:fill="D9D9D9"/>
        </w:rPr>
      </w:pPr>
      <w:r>
        <w:rPr>
          <w:rFonts w:hint="eastAsia" w:eastAsia="楷体_GB2312"/>
          <w:szCs w:val="32"/>
        </w:rPr>
        <w:t>（九）发挥社工志愿者合力。</w:t>
      </w:r>
      <w:r>
        <w:rPr>
          <w:rFonts w:hint="eastAsia"/>
          <w:szCs w:val="32"/>
        </w:rPr>
        <w:t>多层次选拔培养社会工作人才，通过给予津贴、奖励等措施，鼓励参加社会工作者职业水平考试，加强持证社工继续教育，开展专业社会工作督导和领军人才培养计划，将高层次社工人才纳入急需紧缺和重点人才引进范围。</w:t>
      </w:r>
      <w:r>
        <w:rPr>
          <w:rFonts w:hint="eastAsia" w:eastAsia="楷体_GB2312"/>
          <w:szCs w:val="32"/>
        </w:rPr>
        <w:t>（县委人才办、县民政局、县财政局、县人力社保局）</w:t>
      </w:r>
      <w:r>
        <w:rPr>
          <w:rFonts w:hint="eastAsia"/>
          <w:szCs w:val="32"/>
        </w:rPr>
        <w:t>推动以社会工作服务为主的事业单位将社会工作岗位明确为主体专业技术岗位，实现社会工作者职业资格与专业技术职务评聘相衔接。</w:t>
      </w:r>
      <w:r>
        <w:rPr>
          <w:rFonts w:hint="eastAsia" w:eastAsia="楷体_GB2312"/>
          <w:szCs w:val="32"/>
        </w:rPr>
        <w:t>（县人力社保局）</w:t>
      </w:r>
      <w:r>
        <w:rPr>
          <w:rFonts w:hint="eastAsia"/>
          <w:szCs w:val="32"/>
        </w:rPr>
        <w:t>完善政府购买社会工作服务成本核算制度，编制财政预算时将社会工作专业人才人力成本作为重要指标。</w:t>
      </w:r>
      <w:r>
        <w:rPr>
          <w:rFonts w:hint="eastAsia" w:eastAsia="楷体_GB2312"/>
          <w:szCs w:val="32"/>
        </w:rPr>
        <w:t>（县财政局、县民政局、相关部门）</w:t>
      </w:r>
      <w:r>
        <w:rPr>
          <w:rFonts w:hint="eastAsia"/>
          <w:szCs w:val="32"/>
        </w:rPr>
        <w:t>支持乡镇（街道）建立社会工作站，通过政府购买服务等方式，支持社会工作发展。</w:t>
      </w:r>
      <w:r>
        <w:rPr>
          <w:rFonts w:hint="eastAsia" w:eastAsia="楷体_GB2312"/>
          <w:szCs w:val="32"/>
        </w:rPr>
        <w:t>（县财政局、县民政局）</w:t>
      </w:r>
      <w:r>
        <w:rPr>
          <w:rFonts w:hint="eastAsia"/>
          <w:szCs w:val="32"/>
        </w:rPr>
        <w:t>推行“社工</w:t>
      </w:r>
      <w:r>
        <w:rPr>
          <w:szCs w:val="32"/>
        </w:rPr>
        <w:t>+</w:t>
      </w:r>
      <w:r>
        <w:rPr>
          <w:rFonts w:hint="eastAsia"/>
          <w:szCs w:val="32"/>
        </w:rPr>
        <w:t>志愿者”联动机制。规范志愿者记录和信用管理，建立完善志愿服务激励保障制度。积极引导社会组织、志愿者等社会力量参与救助、养老等民生服务。</w:t>
      </w:r>
      <w:r>
        <w:rPr>
          <w:rFonts w:hint="eastAsia" w:eastAsia="楷体_GB2312"/>
          <w:szCs w:val="32"/>
        </w:rPr>
        <w:t>（县文明办、县民政局、团县委）</w:t>
      </w:r>
    </w:p>
    <w:p>
      <w:pPr>
        <w:spacing w:line="560" w:lineRule="exact"/>
        <w:ind w:firstLine="640" w:firstLineChars="200"/>
        <w:rPr>
          <w:rFonts w:eastAsia="黑体"/>
          <w:szCs w:val="32"/>
        </w:rPr>
      </w:pPr>
      <w:r>
        <w:rPr>
          <w:rFonts w:hint="eastAsia" w:eastAsia="黑体"/>
          <w:szCs w:val="32"/>
        </w:rPr>
        <w:t>四、大力实施“智慧养老”，更好满足个性需求</w:t>
      </w:r>
    </w:p>
    <w:p>
      <w:pPr>
        <w:spacing w:line="560" w:lineRule="exact"/>
        <w:ind w:firstLine="640" w:firstLineChars="200"/>
        <w:rPr>
          <w:rFonts w:eastAsia="楷体_GB2312"/>
          <w:szCs w:val="32"/>
        </w:rPr>
      </w:pPr>
      <w:r>
        <w:rPr>
          <w:rFonts w:hint="eastAsia" w:eastAsia="楷体_GB2312"/>
          <w:szCs w:val="32"/>
        </w:rPr>
        <w:t>（十）创新养老服务体系。</w:t>
      </w:r>
      <w:r>
        <w:rPr>
          <w:rFonts w:hint="eastAsia"/>
          <w:szCs w:val="32"/>
        </w:rPr>
        <w:t>开展第五批全国居家和社区养老服务改革试点，健全居家为基础、社区为依托、机构充分发展、医养有机结合的多层次养老服务体系。到</w:t>
      </w:r>
      <w:r>
        <w:rPr>
          <w:color w:val="000000" w:themeColor="text1"/>
          <w:szCs w:val="32"/>
          <w14:textFill>
            <w14:solidFill>
              <w14:schemeClr w14:val="tx1"/>
            </w14:solidFill>
          </w14:textFill>
        </w:rPr>
        <w:t>202</w:t>
      </w:r>
      <w:r>
        <w:rPr>
          <w:rFonts w:hint="eastAsia"/>
          <w:color w:val="000000" w:themeColor="text1"/>
          <w:szCs w:val="32"/>
          <w14:textFill>
            <w14:solidFill>
              <w14:schemeClr w14:val="tx1"/>
            </w14:solidFill>
          </w14:textFill>
        </w:rPr>
        <w:t>0年</w:t>
      </w:r>
      <w:r>
        <w:rPr>
          <w:rFonts w:hint="eastAsia"/>
          <w:szCs w:val="32"/>
        </w:rPr>
        <w:t>，实现乡镇（街道）示范型居家养老服务中心全覆盖。扩大政府购买居家养老服务对象范围，将90周岁及以上老年人纳入服务补贴对象。建有至少</w:t>
      </w:r>
      <w:r>
        <w:rPr>
          <w:szCs w:val="32"/>
        </w:rPr>
        <w:t>1家中高端康养</w:t>
      </w:r>
      <w:r>
        <w:rPr>
          <w:rFonts w:hint="eastAsia"/>
          <w:szCs w:val="32"/>
        </w:rPr>
        <w:t>机构，全县每千</w:t>
      </w:r>
      <w:r>
        <w:rPr>
          <w:rFonts w:hint="eastAsia"/>
          <w:color w:val="000000" w:themeColor="text1"/>
          <w:szCs w:val="32"/>
          <w14:textFill>
            <w14:solidFill>
              <w14:schemeClr w14:val="tx1"/>
            </w14:solidFill>
          </w14:textFill>
        </w:rPr>
        <w:t>名老人拥有机构床位数达42</w:t>
      </w:r>
      <w:r>
        <w:rPr>
          <w:rFonts w:hint="eastAsia"/>
          <w:szCs w:val="32"/>
        </w:rPr>
        <w:t>张以上。推进养老服务领域社会信用体系建设。加快实施敬老院改造提升工程，引导社会力量参与社区养老服务。鼓励医护人员到医养结合机构执业，开展医养护融合服务。</w:t>
      </w:r>
      <w:r>
        <w:rPr>
          <w:rFonts w:hint="eastAsia" w:eastAsia="楷体_GB2312"/>
          <w:szCs w:val="32"/>
        </w:rPr>
        <w:t>（县民政局、县发改委、县财政局、县卫生健康局、县</w:t>
      </w:r>
      <w:r>
        <w:rPr>
          <w:rFonts w:hint="eastAsia" w:eastAsia="楷体_GB2312"/>
          <w:szCs w:val="32"/>
          <w:lang w:val="en-US" w:eastAsia="zh-CN"/>
        </w:rPr>
        <w:t>市</w:t>
      </w:r>
      <w:bookmarkStart w:id="2" w:name="_GoBack"/>
      <w:bookmarkEnd w:id="2"/>
      <w:r>
        <w:rPr>
          <w:rFonts w:hint="eastAsia" w:eastAsia="楷体_GB2312"/>
          <w:szCs w:val="32"/>
        </w:rPr>
        <w:t>场监管局）</w:t>
      </w:r>
      <w:r>
        <w:rPr>
          <w:rFonts w:hint="eastAsia"/>
          <w:szCs w:val="32"/>
        </w:rPr>
        <w:t>加大资金投入，到</w:t>
      </w:r>
      <w:r>
        <w:rPr>
          <w:szCs w:val="32"/>
        </w:rPr>
        <w:t>2022</w:t>
      </w:r>
      <w:r>
        <w:rPr>
          <w:rFonts w:hint="eastAsia"/>
          <w:szCs w:val="32"/>
        </w:rPr>
        <w:t>年，确保福彩公益金</w:t>
      </w:r>
      <w:r>
        <w:rPr>
          <w:szCs w:val="32"/>
        </w:rPr>
        <w:t>55%</w:t>
      </w:r>
      <w:r>
        <w:rPr>
          <w:rFonts w:hint="eastAsia"/>
          <w:szCs w:val="32"/>
        </w:rPr>
        <w:t>以上用于支持发展养老服务。</w:t>
      </w:r>
      <w:r>
        <w:rPr>
          <w:rFonts w:hint="eastAsia" w:eastAsia="楷体_GB2312"/>
          <w:szCs w:val="32"/>
        </w:rPr>
        <w:t>（县财政局、县民政局）</w:t>
      </w:r>
      <w:r>
        <w:rPr>
          <w:rFonts w:hint="eastAsia"/>
          <w:szCs w:val="32"/>
        </w:rPr>
        <w:t>落实“长三角区域一体化”发展战略，统筹县域康养资源。探索建立政府、社会、个人合理分担的康养服务保障政策。探索建立康复辅助器租赁服务体系。</w:t>
      </w:r>
      <w:r>
        <w:rPr>
          <w:rFonts w:hint="eastAsia" w:eastAsia="楷体_GB2312"/>
          <w:szCs w:val="32"/>
        </w:rPr>
        <w:t>（县民政局、县残联、县经济商务局、县卫生健康局、县医保局）</w:t>
      </w:r>
    </w:p>
    <w:p>
      <w:pPr>
        <w:spacing w:line="560" w:lineRule="exact"/>
        <w:ind w:firstLine="640" w:firstLineChars="200"/>
        <w:rPr>
          <w:rFonts w:eastAsia="楷体_GB2312"/>
          <w:szCs w:val="32"/>
        </w:rPr>
      </w:pPr>
      <w:r>
        <w:rPr>
          <w:rFonts w:hint="eastAsia" w:eastAsia="楷体_GB2312"/>
          <w:szCs w:val="32"/>
        </w:rPr>
        <w:t>（十一）推广养老数字服务。</w:t>
      </w:r>
      <w:r>
        <w:rPr>
          <w:rFonts w:hint="eastAsia"/>
          <w:szCs w:val="32"/>
        </w:rPr>
        <w:t>对接“浙里养”平台，推进与户籍、医疗、社会救助等资源对接，提升养老数据分析研判能力。利用“互联网+”技术，精准对接需求与供给，设立县、乡、村三级“浙里养”智慧养老服务平台账户，为老年人提供就近便捷服务。</w:t>
      </w:r>
      <w:r>
        <w:rPr>
          <w:rFonts w:hint="eastAsia" w:eastAsia="楷体_GB2312"/>
          <w:szCs w:val="32"/>
        </w:rPr>
        <w:t>（县民政局、县大数据局）</w:t>
      </w:r>
    </w:p>
    <w:p>
      <w:pPr>
        <w:spacing w:line="560" w:lineRule="exact"/>
        <w:ind w:firstLine="640" w:firstLineChars="200"/>
        <w:rPr>
          <w:rFonts w:eastAsia="楷体_GB2312"/>
          <w:szCs w:val="32"/>
        </w:rPr>
      </w:pPr>
      <w:r>
        <w:rPr>
          <w:rFonts w:hint="eastAsia" w:eastAsia="楷体_GB2312"/>
          <w:szCs w:val="32"/>
        </w:rPr>
        <w:t>（十二）提升居家养老质量。</w:t>
      </w:r>
      <w:r>
        <w:rPr>
          <w:rFonts w:hint="eastAsia"/>
          <w:szCs w:val="32"/>
        </w:rPr>
        <w:t>国土空间规划应保障养老服务需求，</w:t>
      </w:r>
      <w:r>
        <w:rPr>
          <w:rFonts w:hint="eastAsia" w:ascii="仿宋_GB2312" w:hAnsi="宋体" w:cs="仿宋_GB2312"/>
          <w:bCs/>
          <w:color w:val="000000" w:themeColor="text1"/>
          <w:spacing w:val="-6"/>
          <w:szCs w:val="32"/>
          <w:lang w:bidi="ar"/>
          <w14:textFill>
            <w14:solidFill>
              <w14:schemeClr w14:val="tx1"/>
            </w14:solidFill>
          </w14:textFill>
        </w:rPr>
        <w:t>编制《浦江县养老设施布局专项规划》。</w:t>
      </w:r>
      <w:r>
        <w:rPr>
          <w:rFonts w:hint="eastAsia"/>
          <w:szCs w:val="32"/>
        </w:rPr>
        <w:t>制订新建住宅小区配建居家养老服务用房建设管理办法，推进新建小区养老服务等设施规划、建设、验收、交付“四同步”。健全居家养老服务中心经费保障机制，确保助餐配送餐长效运行。实施生活困难老年人家庭适老化改造工程。</w:t>
      </w:r>
      <w:r>
        <w:rPr>
          <w:rFonts w:hint="eastAsia" w:eastAsia="楷体_GB2312"/>
          <w:szCs w:val="32"/>
        </w:rPr>
        <w:t>（县自然资源局、县民政局、县建设局、县财政局）</w:t>
      </w:r>
    </w:p>
    <w:p>
      <w:pPr>
        <w:spacing w:line="560" w:lineRule="exact"/>
        <w:ind w:firstLine="640" w:firstLineChars="200"/>
        <w:rPr>
          <w:rFonts w:ascii="楷体" w:hAnsi="楷体" w:eastAsia="楷体" w:cs="楷体"/>
          <w:szCs w:val="32"/>
        </w:rPr>
      </w:pPr>
      <w:r>
        <w:rPr>
          <w:rFonts w:hint="eastAsia" w:eastAsia="楷体_GB2312"/>
          <w:szCs w:val="32"/>
        </w:rPr>
        <w:t>（十三）加强困难老人关爱。</w:t>
      </w:r>
      <w:r>
        <w:rPr>
          <w:rFonts w:hint="eastAsia"/>
          <w:szCs w:val="32"/>
        </w:rPr>
        <w:t>完善养老服务补贴制度和需求评估办法，确定基本养老服务项目。补贴资金和评估经费纳入财政保障，重点用于补贴经济困难高龄、失能失智老人的长期照护。</w:t>
      </w:r>
      <w:r>
        <w:rPr>
          <w:rFonts w:hint="eastAsia" w:eastAsia="楷体_GB2312"/>
          <w:szCs w:val="32"/>
        </w:rPr>
        <w:t>（县民政局、县财政局、县卫生健康局、县残联）</w:t>
      </w:r>
      <w:r>
        <w:rPr>
          <w:rFonts w:hint="eastAsia"/>
          <w:color w:val="000000" w:themeColor="text1"/>
          <w:szCs w:val="32"/>
          <w14:textFill>
            <w14:solidFill>
              <w14:schemeClr w14:val="tx1"/>
            </w14:solidFill>
          </w14:textFill>
        </w:rPr>
        <w:t>加快实施长期护理保险制度试点，发展长期护理商业保险产品。</w:t>
      </w:r>
      <w:r>
        <w:rPr>
          <w:rFonts w:hint="eastAsia" w:eastAsia="楷体_GB2312"/>
          <w:color w:val="000000" w:themeColor="text1"/>
          <w:szCs w:val="32"/>
          <w14:textFill>
            <w14:solidFill>
              <w14:schemeClr w14:val="tx1"/>
            </w14:solidFill>
          </w14:textFill>
        </w:rPr>
        <w:t>（县医保局）</w:t>
      </w:r>
      <w:r>
        <w:rPr>
          <w:rFonts w:hint="eastAsia"/>
          <w:szCs w:val="32"/>
        </w:rPr>
        <w:t>到2020年，公办养老机构应完成失智症照护专区设立，床位数不少于总数的</w:t>
      </w:r>
      <w:r>
        <w:rPr>
          <w:szCs w:val="32"/>
        </w:rPr>
        <w:t>5%</w:t>
      </w:r>
      <w:r>
        <w:rPr>
          <w:rFonts w:hint="eastAsia"/>
          <w:szCs w:val="32"/>
        </w:rPr>
        <w:t>。实现老年活动中心全覆盖，探索在乡镇（街道）居家养老服务中心和养老社区设置老年电视大学教学点。</w:t>
      </w:r>
      <w:r>
        <w:rPr>
          <w:rFonts w:hint="eastAsia" w:eastAsia="楷体_GB2312"/>
          <w:szCs w:val="32"/>
        </w:rPr>
        <w:t>（县卫生健康局、县民政局）</w:t>
      </w:r>
      <w:r>
        <w:rPr>
          <w:rFonts w:hint="eastAsia" w:ascii="仿宋" w:hAnsi="仿宋" w:eastAsia="仿宋" w:cs="仿宋"/>
          <w:color w:val="000000"/>
          <w:szCs w:val="32"/>
        </w:rPr>
        <w:t>支持商业保险机构举办养老服务机构或参与建设运营。</w:t>
      </w:r>
      <w:r>
        <w:rPr>
          <w:rFonts w:hint="eastAsia" w:ascii="楷体" w:hAnsi="楷体" w:eastAsia="楷体" w:cs="楷体"/>
          <w:szCs w:val="32"/>
        </w:rPr>
        <w:t>（县金融办）</w:t>
      </w:r>
    </w:p>
    <w:p>
      <w:pPr>
        <w:spacing w:line="560" w:lineRule="exact"/>
        <w:ind w:firstLine="640" w:firstLineChars="200"/>
        <w:rPr>
          <w:szCs w:val="32"/>
        </w:rPr>
      </w:pPr>
      <w:r>
        <w:rPr>
          <w:rFonts w:hint="eastAsia" w:eastAsia="楷体_GB2312"/>
          <w:szCs w:val="32"/>
        </w:rPr>
        <w:t>（十四）强化护理人才支撑。</w:t>
      </w:r>
      <w:r>
        <w:rPr>
          <w:rFonts w:hint="eastAsia"/>
          <w:szCs w:val="32"/>
        </w:rPr>
        <w:t>加强</w:t>
      </w:r>
      <w:r>
        <w:rPr>
          <w:szCs w:val="32"/>
        </w:rPr>
        <w:t>养老护理人员职业技能提升培训，</w:t>
      </w:r>
      <w:r>
        <w:rPr>
          <w:rFonts w:hint="eastAsia"/>
          <w:szCs w:val="32"/>
        </w:rPr>
        <w:t>提高养老服务人员的素质和水平。按规定发放护理员技能等级补贴。到</w:t>
      </w:r>
      <w:r>
        <w:rPr>
          <w:szCs w:val="32"/>
        </w:rPr>
        <w:t>2022</w:t>
      </w:r>
      <w:r>
        <w:rPr>
          <w:rFonts w:hint="eastAsia"/>
          <w:szCs w:val="32"/>
        </w:rPr>
        <w:t>年，每</w:t>
      </w:r>
      <w:r>
        <w:rPr>
          <w:szCs w:val="32"/>
        </w:rPr>
        <w:t>60</w:t>
      </w:r>
      <w:r>
        <w:rPr>
          <w:rFonts w:hint="eastAsia"/>
          <w:szCs w:val="32"/>
        </w:rPr>
        <w:t>张养老机构床位配备</w:t>
      </w:r>
      <w:r>
        <w:rPr>
          <w:szCs w:val="32"/>
        </w:rPr>
        <w:t>1</w:t>
      </w:r>
      <w:r>
        <w:rPr>
          <w:rFonts w:hint="eastAsia"/>
          <w:szCs w:val="32"/>
        </w:rPr>
        <w:t>名社会工作者，每</w:t>
      </w:r>
      <w:r>
        <w:rPr>
          <w:szCs w:val="32"/>
        </w:rPr>
        <w:t>500</w:t>
      </w:r>
      <w:r>
        <w:rPr>
          <w:rFonts w:hint="eastAsia"/>
          <w:szCs w:val="32"/>
        </w:rPr>
        <w:t>名老年人配备</w:t>
      </w:r>
      <w:r>
        <w:rPr>
          <w:szCs w:val="32"/>
        </w:rPr>
        <w:t>1</w:t>
      </w:r>
      <w:r>
        <w:rPr>
          <w:rFonts w:hint="eastAsia"/>
          <w:szCs w:val="32"/>
        </w:rPr>
        <w:t>名社会工作者。</w:t>
      </w:r>
      <w:r>
        <w:rPr>
          <w:rFonts w:hint="eastAsia" w:eastAsia="楷体_GB2312"/>
          <w:szCs w:val="32"/>
        </w:rPr>
        <w:t>（县人力社保局、县财政局、县民政局、县卫生健康局）</w:t>
      </w:r>
    </w:p>
    <w:p>
      <w:pPr>
        <w:spacing w:line="560" w:lineRule="exact"/>
        <w:ind w:firstLine="960" w:firstLineChars="300"/>
        <w:rPr>
          <w:rFonts w:eastAsia="黑体"/>
          <w:szCs w:val="32"/>
        </w:rPr>
      </w:pPr>
      <w:r>
        <w:rPr>
          <w:rFonts w:hint="eastAsia" w:eastAsia="黑体"/>
          <w:szCs w:val="32"/>
        </w:rPr>
        <w:t>五、大力实施“智慧服务”，更好推动便民利民</w:t>
      </w:r>
    </w:p>
    <w:p>
      <w:pPr>
        <w:spacing w:line="560" w:lineRule="exact"/>
        <w:ind w:firstLine="480" w:firstLineChars="150"/>
        <w:rPr>
          <w:rFonts w:ascii="仿宋" w:hAnsi="仿宋" w:eastAsia="仿宋" w:cs="仿宋"/>
          <w:color w:val="111F2C"/>
          <w:szCs w:val="32"/>
          <w:shd w:val="clear" w:color="auto" w:fill="FFFFFF"/>
        </w:rPr>
      </w:pPr>
      <w:r>
        <w:rPr>
          <w:rFonts w:hint="eastAsia" w:eastAsia="楷体_GB2312"/>
          <w:szCs w:val="32"/>
        </w:rPr>
        <w:t>（十五）加强区划地名管理和地名文化保护。</w:t>
      </w:r>
      <w:r>
        <w:rPr>
          <w:rFonts w:hint="eastAsia"/>
          <w:szCs w:val="32"/>
        </w:rPr>
        <w:t>加强地名信息化建设，推进“千年古县”地名文化挖掘和保护，健全“地名评定”专家评审和论证制度。加强地名命名管理，将地名规划融入城镇控制性详规，实现多规合一。深化平安边界建设，提升界线管理水平。探索门牌编制权限下放到乡镇街道</w:t>
      </w:r>
      <w:r>
        <w:rPr>
          <w:rFonts w:hint="eastAsia" w:eastAsia="楷体_GB2312"/>
          <w:szCs w:val="32"/>
        </w:rPr>
        <w:t>（县民政局、县公安局、县自然资源局、县建设局、县交通局、县文广旅体局、县委政法委）</w:t>
      </w:r>
    </w:p>
    <w:p>
      <w:pPr>
        <w:spacing w:line="560" w:lineRule="exact"/>
        <w:ind w:firstLine="640" w:firstLineChars="200"/>
        <w:rPr>
          <w:szCs w:val="32"/>
          <w:shd w:val="clear" w:color="auto" w:fill="D9D9D9"/>
        </w:rPr>
      </w:pPr>
      <w:r>
        <w:rPr>
          <w:rFonts w:hint="eastAsia" w:eastAsia="楷体_GB2312"/>
          <w:szCs w:val="32"/>
        </w:rPr>
        <w:t>（十六）推进水库</w:t>
      </w:r>
      <w:r>
        <w:rPr>
          <w:rFonts w:hint="eastAsia" w:eastAsia="楷体_GB2312"/>
          <w:color w:val="000000" w:themeColor="text1"/>
          <w:szCs w:val="32"/>
          <w14:textFill>
            <w14:solidFill>
              <w14:schemeClr w14:val="tx1"/>
            </w14:solidFill>
          </w14:textFill>
        </w:rPr>
        <w:t>移民安置融</w:t>
      </w:r>
      <w:r>
        <w:rPr>
          <w:rFonts w:hint="eastAsia" w:eastAsia="楷体_GB2312"/>
          <w:szCs w:val="32"/>
        </w:rPr>
        <w:t>入服务。</w:t>
      </w:r>
      <w:r>
        <w:rPr>
          <w:rFonts w:hint="eastAsia" w:ascii="仿宋" w:hAnsi="仿宋" w:eastAsia="仿宋"/>
          <w:color w:val="000000" w:themeColor="text1"/>
          <w:szCs w:val="32"/>
          <w:shd w:val="clear" w:color="auto" w:fill="FFFFFF"/>
          <w14:textFill>
            <w14:solidFill>
              <w14:schemeClr w14:val="tx1"/>
            </w14:solidFill>
          </w14:textFill>
        </w:rPr>
        <w:t>做好新建水库移民安置工作实施过程监管。优化项目扶持结构模式，科学实施水库移民后期扶持项目，提高资金使用效益。巩固集体经济薄弱移民村消薄成果，帮扶移民增收致富。加快推进移民美丽家园建设和移民稳定发展，促进移民和谐融入。</w:t>
      </w:r>
      <w:r>
        <w:rPr>
          <w:rFonts w:hint="eastAsia" w:eastAsia="楷体_GB2312"/>
          <w:szCs w:val="32"/>
        </w:rPr>
        <w:t>（县民政局、县公安局、县财政局、县水利局、县农业农村局）</w:t>
      </w:r>
    </w:p>
    <w:p>
      <w:pPr>
        <w:spacing w:line="560" w:lineRule="exact"/>
        <w:ind w:firstLine="640" w:firstLineChars="200"/>
        <w:rPr>
          <w:szCs w:val="32"/>
        </w:rPr>
      </w:pPr>
      <w:r>
        <w:rPr>
          <w:rFonts w:hint="eastAsia" w:eastAsia="楷体_GB2312"/>
          <w:szCs w:val="32"/>
        </w:rPr>
        <w:t>（十七）推进婚姻登记便民利民服务。</w:t>
      </w:r>
      <w:r>
        <w:rPr>
          <w:rFonts w:hint="eastAsia"/>
          <w:szCs w:val="32"/>
        </w:rPr>
        <w:t>加强婚姻文化建设，推进婚俗改革，构建和谐婚姻家庭。长效开展</w:t>
      </w:r>
      <w:r>
        <w:rPr>
          <w:szCs w:val="32"/>
          <w:lang w:bidi="en-US"/>
        </w:rPr>
        <w:t>婚姻家庭辅导服务</w:t>
      </w:r>
      <w:r>
        <w:rPr>
          <w:rFonts w:hint="eastAsia"/>
          <w:szCs w:val="32"/>
          <w:lang w:bidi="en-US"/>
        </w:rPr>
        <w:t>，创新结婚登记免费颁证服务</w:t>
      </w:r>
      <w:r>
        <w:rPr>
          <w:rFonts w:hint="eastAsia"/>
          <w:szCs w:val="32"/>
        </w:rPr>
        <w:t>。</w:t>
      </w:r>
      <w:r>
        <w:rPr>
          <w:rFonts w:hint="eastAsia" w:eastAsia="楷体_GB2312"/>
          <w:szCs w:val="32"/>
        </w:rPr>
        <w:t>（县民政局、县妇联、县财政局）</w:t>
      </w:r>
      <w:r>
        <w:rPr>
          <w:rFonts w:hint="eastAsia"/>
          <w:szCs w:val="32"/>
        </w:rPr>
        <w:t>推进结婚生育户口“一件事”联办和历史数据核对电子签名工作，实现婚姻电子证照的共享应用。</w:t>
      </w:r>
      <w:r>
        <w:rPr>
          <w:rFonts w:hint="eastAsia" w:eastAsia="楷体_GB2312"/>
          <w:szCs w:val="32"/>
        </w:rPr>
        <w:t>（县民政局、县委改革办、县大数据局）</w:t>
      </w:r>
      <w:r>
        <w:rPr>
          <w:rFonts w:hint="eastAsia"/>
          <w:szCs w:val="32"/>
        </w:rPr>
        <w:t xml:space="preserve">    </w:t>
      </w:r>
    </w:p>
    <w:p>
      <w:pPr>
        <w:pStyle w:val="9"/>
        <w:numPr>
          <w:ilvl w:val="0"/>
          <w:numId w:val="1"/>
        </w:numPr>
        <w:spacing w:line="560" w:lineRule="exact"/>
        <w:ind w:firstLineChars="0"/>
        <w:rPr>
          <w:rFonts w:eastAsia="黑体"/>
          <w:szCs w:val="32"/>
        </w:rPr>
      </w:pPr>
      <w:r>
        <w:rPr>
          <w:rFonts w:hint="eastAsia" w:eastAsia="黑体"/>
          <w:szCs w:val="32"/>
        </w:rPr>
        <w:t>全面深化改革创新，增强民政事业发展活力</w:t>
      </w:r>
    </w:p>
    <w:p>
      <w:pPr>
        <w:spacing w:line="560" w:lineRule="exact"/>
        <w:ind w:firstLine="640" w:firstLineChars="200"/>
        <w:rPr>
          <w:rFonts w:eastAsia="楷体_GB2312"/>
          <w:szCs w:val="32"/>
        </w:rPr>
      </w:pPr>
      <w:r>
        <w:rPr>
          <w:rFonts w:hint="eastAsia" w:eastAsia="楷体_GB2312"/>
          <w:szCs w:val="32"/>
        </w:rPr>
        <w:t>（十八）推进民政“最多跑一次”改革。</w:t>
      </w:r>
      <w:r>
        <w:rPr>
          <w:szCs w:val="32"/>
          <w:lang w:bidi="en-US"/>
        </w:rPr>
        <w:t>加快民政数字化转型步伐，全面推行民政服务</w:t>
      </w:r>
      <w:r>
        <w:rPr>
          <w:szCs w:val="32"/>
          <w:lang w:bidi="zh-CN"/>
        </w:rPr>
        <w:t>“码</w:t>
      </w:r>
      <w:r>
        <w:rPr>
          <w:szCs w:val="32"/>
          <w:lang w:bidi="en-US"/>
        </w:rPr>
        <w:t>上办”，深化</w:t>
      </w:r>
      <w:r>
        <w:rPr>
          <w:szCs w:val="32"/>
          <w:lang w:bidi="zh-CN"/>
        </w:rPr>
        <w:t>“婚育</w:t>
      </w:r>
      <w:r>
        <w:rPr>
          <w:szCs w:val="32"/>
          <w:lang w:bidi="en-US"/>
        </w:rPr>
        <w:t>户一件事”</w:t>
      </w:r>
      <w:r>
        <w:rPr>
          <w:szCs w:val="32"/>
          <w:lang w:bidi="zh-CN"/>
        </w:rPr>
        <w:t>“救</w:t>
      </w:r>
      <w:r>
        <w:rPr>
          <w:szCs w:val="32"/>
          <w:lang w:bidi="en-US"/>
        </w:rPr>
        <w:t>助一件事”</w:t>
      </w:r>
      <w:r>
        <w:rPr>
          <w:szCs w:val="32"/>
          <w:lang w:bidi="zh-CN"/>
        </w:rPr>
        <w:t>“身</w:t>
      </w:r>
      <w:r>
        <w:rPr>
          <w:szCs w:val="32"/>
          <w:lang w:bidi="en-US"/>
        </w:rPr>
        <w:t>后一件事”等联办服务</w:t>
      </w:r>
      <w:r>
        <w:rPr>
          <w:rFonts w:hint="eastAsia"/>
          <w:szCs w:val="32"/>
          <w:lang w:bidi="en-US"/>
        </w:rPr>
        <w:t>，推动民政服务向“零次跑”和“高质量”转变。</w:t>
      </w:r>
      <w:r>
        <w:rPr>
          <w:szCs w:val="32"/>
          <w:lang w:bidi="en-US"/>
        </w:rPr>
        <w:t>探索将最低生活保障救助、养老服务补贴等审批权限下放至乡镇（街道）。</w:t>
      </w:r>
      <w:r>
        <w:rPr>
          <w:rFonts w:hint="eastAsia" w:eastAsia="楷体_GB2312"/>
          <w:szCs w:val="32"/>
        </w:rPr>
        <w:t>（县民政局、县委改革办、县公安局、县财政局、县大数据局）</w:t>
      </w:r>
    </w:p>
    <w:p>
      <w:pPr>
        <w:spacing w:line="560" w:lineRule="exact"/>
        <w:ind w:firstLine="640" w:firstLineChars="200"/>
        <w:rPr>
          <w:rFonts w:eastAsia="楷体_GB2312"/>
          <w:szCs w:val="32"/>
        </w:rPr>
      </w:pPr>
      <w:r>
        <w:rPr>
          <w:rFonts w:hint="eastAsia" w:eastAsia="楷体_GB2312"/>
          <w:szCs w:val="32"/>
        </w:rPr>
        <w:t>（十九）深化生态殡葬综合改革。</w:t>
      </w:r>
      <w:r>
        <w:rPr>
          <w:rFonts w:hint="eastAsia"/>
          <w:szCs w:val="32"/>
        </w:rPr>
        <w:t>建立健全基本殡葬公共服务体系。</w:t>
      </w:r>
      <w:r>
        <w:rPr>
          <w:rFonts w:hint="eastAsia"/>
          <w:szCs w:val="32"/>
          <w:lang w:bidi="en-US"/>
        </w:rPr>
        <w:t>编制完善殡葬服务设施布局规划，按照国土空间规划“一张图”审查，纳入国土空间规划。加强殡葬基础设施建设，优化治丧环境，完善群众身后“一件事”联办服务，提升群众办事满意度。倡导绿色文明生态殡葬，推行安息堂、树葬等生态安葬。到</w:t>
      </w:r>
      <w:r>
        <w:rPr>
          <w:szCs w:val="32"/>
          <w:lang w:bidi="en-US"/>
        </w:rPr>
        <w:t>2022</w:t>
      </w:r>
      <w:r>
        <w:rPr>
          <w:rFonts w:hint="eastAsia"/>
          <w:szCs w:val="32"/>
          <w:lang w:bidi="en-US"/>
        </w:rPr>
        <w:t>年，每个乡镇（街道）建有节地生态安葬点，全县生态安葬行政村覆盖率达到</w:t>
      </w:r>
      <w:r>
        <w:rPr>
          <w:szCs w:val="32"/>
          <w:lang w:bidi="en-US"/>
        </w:rPr>
        <w:t>100%</w:t>
      </w:r>
      <w:r>
        <w:rPr>
          <w:rFonts w:hint="eastAsia"/>
          <w:szCs w:val="32"/>
          <w:lang w:bidi="en-US"/>
        </w:rPr>
        <w:t>。加强骨灰跟踪管理，规范殡葬秩序，破除丧葬陋习。</w:t>
      </w:r>
      <w:r>
        <w:rPr>
          <w:rFonts w:hint="eastAsia" w:eastAsia="楷体_GB2312"/>
          <w:szCs w:val="32"/>
        </w:rPr>
        <w:t>（县民政局、县委改革办、县发改委、县公安局、县财政局、县自然资源局、县建设局、县交通局、县水务局、县文明办、市生态环境局浦江分局）</w:t>
      </w:r>
    </w:p>
    <w:p>
      <w:pPr>
        <w:spacing w:line="560" w:lineRule="exact"/>
        <w:ind w:firstLine="640" w:firstLineChars="200"/>
        <w:rPr>
          <w:rFonts w:eastAsia="楷体_GB2312"/>
          <w:spacing w:val="-4"/>
          <w:szCs w:val="32"/>
        </w:rPr>
      </w:pPr>
      <w:r>
        <w:rPr>
          <w:rFonts w:hint="eastAsia" w:eastAsia="楷体_GB2312"/>
          <w:szCs w:val="32"/>
        </w:rPr>
        <w:t>（二十）</w:t>
      </w:r>
      <w:r>
        <w:rPr>
          <w:rFonts w:hint="eastAsia" w:ascii="楷体" w:hAnsi="楷体" w:eastAsia="楷体" w:cs="楷体"/>
          <w:szCs w:val="32"/>
        </w:rPr>
        <w:t>提升基层民政服务能力</w:t>
      </w:r>
      <w:r>
        <w:rPr>
          <w:rFonts w:hint="eastAsia" w:eastAsia="楷体_GB2312"/>
          <w:szCs w:val="32"/>
        </w:rPr>
        <w:t>。</w:t>
      </w:r>
      <w:r>
        <w:rPr>
          <w:rFonts w:hint="eastAsia"/>
          <w:spacing w:val="-4"/>
          <w:szCs w:val="32"/>
        </w:rPr>
        <w:t>配足配强基层民政管理服务人员，承担民政工作职能。乡镇（街道）至少配备1名行政或事业编制干部专职从事民政管理工作；乡镇（街道）常住人口在10万人以下的，配备3名左右，常住人口在10万人以上的，配备5名左右民政经办服务人员，专职从事民政事项办理和服务工作。招录、薪酬等参照参照专职社区工作者管理办法实施。</w:t>
      </w:r>
      <w:r>
        <w:rPr>
          <w:rFonts w:hint="eastAsia" w:eastAsia="楷体_GB2312"/>
          <w:spacing w:val="-4"/>
          <w:szCs w:val="32"/>
        </w:rPr>
        <w:t>（县民政局、县委编办、县财政局、县人力社保局）</w:t>
      </w:r>
    </w:p>
    <w:p>
      <w:pPr>
        <w:pStyle w:val="9"/>
        <w:spacing w:line="560" w:lineRule="exact"/>
        <w:ind w:firstLine="640"/>
        <w:rPr>
          <w:szCs w:val="32"/>
          <w:lang w:bidi="zh-TW"/>
        </w:rPr>
      </w:pPr>
      <w:r>
        <w:rPr>
          <w:rFonts w:hint="eastAsia" w:eastAsia="楷体_GB2312"/>
          <w:szCs w:val="32"/>
        </w:rPr>
        <w:t>（二十一）夯实民政事业发展基础。</w:t>
      </w:r>
      <w:r>
        <w:rPr>
          <w:szCs w:val="32"/>
          <w:lang w:bidi="zh-TW"/>
        </w:rPr>
        <w:t>县委、县政府每年听取</w:t>
      </w:r>
      <w:r>
        <w:rPr>
          <w:rFonts w:hint="eastAsia"/>
          <w:szCs w:val="32"/>
          <w:lang w:bidi="zh-TW"/>
        </w:rPr>
        <w:t>一</w:t>
      </w:r>
      <w:r>
        <w:rPr>
          <w:szCs w:val="32"/>
          <w:lang w:bidi="zh-TW"/>
        </w:rPr>
        <w:t>次民政工作汇报，及时研究解决民政工作中的重大问题，</w:t>
      </w:r>
      <w:r>
        <w:rPr>
          <w:rFonts w:hint="eastAsia"/>
          <w:szCs w:val="32"/>
          <w:lang w:bidi="zh-TW"/>
        </w:rPr>
        <w:t>加强民政部门领导班子和干部队伍建设，打造民政铁军。</w:t>
      </w:r>
      <w:r>
        <w:rPr>
          <w:rFonts w:hint="eastAsia"/>
          <w:szCs w:val="32"/>
        </w:rPr>
        <w:t>加大对民政事业发展投入，落实民政工作经费，提升民政工作信息化水平。加快法治民政建设，实施“互联网十民政执法监管”，</w:t>
      </w:r>
      <w:r>
        <w:rPr>
          <w:szCs w:val="32"/>
          <w:lang w:bidi="en-US"/>
        </w:rPr>
        <w:t>全面落实民政</w:t>
      </w:r>
      <w:r>
        <w:rPr>
          <w:szCs w:val="32"/>
          <w:lang w:bidi="zh-CN"/>
        </w:rPr>
        <w:t>“双</w:t>
      </w:r>
      <w:r>
        <w:rPr>
          <w:szCs w:val="32"/>
          <w:lang w:bidi="en-US"/>
        </w:rPr>
        <w:t>随机</w:t>
      </w:r>
      <w:r>
        <w:rPr>
          <w:rFonts w:hint="eastAsia"/>
          <w:szCs w:val="32"/>
          <w:lang w:bidi="en-US"/>
        </w:rPr>
        <w:t>—</w:t>
      </w:r>
      <w:r>
        <w:rPr>
          <w:szCs w:val="32"/>
          <w:lang w:bidi="en-US"/>
        </w:rPr>
        <w:t>公开”监管机制</w:t>
      </w:r>
      <w:r>
        <w:rPr>
          <w:rFonts w:hint="eastAsia"/>
          <w:szCs w:val="32"/>
        </w:rPr>
        <w:t>，开展跨部门跨层级联合执法。强化部门协同，形成推进民政事业发展的强大合力。建设“清廉民政”推进全面从严治党向纵深发展、向基层延伸，着力整治不正之风和腐败问题。（</w:t>
      </w:r>
      <w:r>
        <w:rPr>
          <w:rFonts w:hint="eastAsia" w:eastAsia="楷体_GB2312"/>
          <w:szCs w:val="32"/>
        </w:rPr>
        <w:t>县民政局、县市场监管局）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155718"/>
      <w:docPartObj>
        <w:docPartGallery w:val="AutoText"/>
      </w:docPartObj>
    </w:sdtPr>
    <w:sdtContent>
      <w:p>
        <w:pPr>
          <w:pStyle w:val="2"/>
          <w:jc w:val="right"/>
        </w:pPr>
        <w:r>
          <w:fldChar w:fldCharType="begin"/>
        </w:r>
        <w:r>
          <w:instrText xml:space="preserve">PAGE   \* MERGEFORMAT</w:instrText>
        </w:r>
        <w:r>
          <w:fldChar w:fldCharType="separate"/>
        </w:r>
        <w:r>
          <w:rPr>
            <w:lang w:val="zh-CN"/>
          </w:rPr>
          <w:t>10</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51287"/>
    <w:multiLevelType w:val="multilevel"/>
    <w:tmpl w:val="12E51287"/>
    <w:lvl w:ilvl="0" w:tentative="0">
      <w:start w:val="6"/>
      <w:numFmt w:val="japaneseCounting"/>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ZGQ5ZGM1ZjBkMWU5NTkwMDk0ZjFlOTliYWI5NmIifQ=="/>
  </w:docVars>
  <w:rsids>
    <w:rsidRoot w:val="00B40DD9"/>
    <w:rsid w:val="00002C23"/>
    <w:rsid w:val="00006844"/>
    <w:rsid w:val="000127C1"/>
    <w:rsid w:val="00012F0F"/>
    <w:rsid w:val="000166E7"/>
    <w:rsid w:val="00021C67"/>
    <w:rsid w:val="00024104"/>
    <w:rsid w:val="00024323"/>
    <w:rsid w:val="0003383C"/>
    <w:rsid w:val="00041DD9"/>
    <w:rsid w:val="000421C6"/>
    <w:rsid w:val="000445A9"/>
    <w:rsid w:val="00050FA0"/>
    <w:rsid w:val="00054008"/>
    <w:rsid w:val="00054F69"/>
    <w:rsid w:val="00057923"/>
    <w:rsid w:val="00061EBA"/>
    <w:rsid w:val="00073AF4"/>
    <w:rsid w:val="000778EC"/>
    <w:rsid w:val="00082C40"/>
    <w:rsid w:val="00085070"/>
    <w:rsid w:val="00085C18"/>
    <w:rsid w:val="00085C72"/>
    <w:rsid w:val="00085EE6"/>
    <w:rsid w:val="000876EE"/>
    <w:rsid w:val="0009135F"/>
    <w:rsid w:val="000923EE"/>
    <w:rsid w:val="0009261E"/>
    <w:rsid w:val="00092AD8"/>
    <w:rsid w:val="000A17C7"/>
    <w:rsid w:val="000A2FF2"/>
    <w:rsid w:val="000A713D"/>
    <w:rsid w:val="000B1617"/>
    <w:rsid w:val="000B1DC0"/>
    <w:rsid w:val="000D1A62"/>
    <w:rsid w:val="000D1FD3"/>
    <w:rsid w:val="000E196A"/>
    <w:rsid w:val="000E2082"/>
    <w:rsid w:val="000E2BB3"/>
    <w:rsid w:val="000E2D13"/>
    <w:rsid w:val="000E7171"/>
    <w:rsid w:val="000F0406"/>
    <w:rsid w:val="00100854"/>
    <w:rsid w:val="001024BB"/>
    <w:rsid w:val="00103A72"/>
    <w:rsid w:val="00120174"/>
    <w:rsid w:val="00131544"/>
    <w:rsid w:val="00137994"/>
    <w:rsid w:val="001439A1"/>
    <w:rsid w:val="0014445C"/>
    <w:rsid w:val="00146EE6"/>
    <w:rsid w:val="00151757"/>
    <w:rsid w:val="001537F3"/>
    <w:rsid w:val="0015557F"/>
    <w:rsid w:val="00157C88"/>
    <w:rsid w:val="00164F1C"/>
    <w:rsid w:val="00171251"/>
    <w:rsid w:val="0017316B"/>
    <w:rsid w:val="00176AF9"/>
    <w:rsid w:val="00185726"/>
    <w:rsid w:val="00194742"/>
    <w:rsid w:val="00197048"/>
    <w:rsid w:val="001A3573"/>
    <w:rsid w:val="001A7F47"/>
    <w:rsid w:val="001B247D"/>
    <w:rsid w:val="001B32A0"/>
    <w:rsid w:val="001B429D"/>
    <w:rsid w:val="001C1A3C"/>
    <w:rsid w:val="001C44FE"/>
    <w:rsid w:val="001D3808"/>
    <w:rsid w:val="001D5B6D"/>
    <w:rsid w:val="001D6DD8"/>
    <w:rsid w:val="001E26AE"/>
    <w:rsid w:val="00201744"/>
    <w:rsid w:val="00202BBA"/>
    <w:rsid w:val="00203AF2"/>
    <w:rsid w:val="00207564"/>
    <w:rsid w:val="00220E3A"/>
    <w:rsid w:val="00226491"/>
    <w:rsid w:val="0022692F"/>
    <w:rsid w:val="00231ABB"/>
    <w:rsid w:val="002335EC"/>
    <w:rsid w:val="00234513"/>
    <w:rsid w:val="0023493A"/>
    <w:rsid w:val="00243741"/>
    <w:rsid w:val="00250F21"/>
    <w:rsid w:val="00251D92"/>
    <w:rsid w:val="002568DC"/>
    <w:rsid w:val="00256DD7"/>
    <w:rsid w:val="00260C7B"/>
    <w:rsid w:val="002671A7"/>
    <w:rsid w:val="002752B0"/>
    <w:rsid w:val="002874A9"/>
    <w:rsid w:val="00292A95"/>
    <w:rsid w:val="00296CDC"/>
    <w:rsid w:val="002A01E9"/>
    <w:rsid w:val="002A07C6"/>
    <w:rsid w:val="002A08C6"/>
    <w:rsid w:val="002A6D53"/>
    <w:rsid w:val="002C0D77"/>
    <w:rsid w:val="002C1BD5"/>
    <w:rsid w:val="002C1FE8"/>
    <w:rsid w:val="002C26E2"/>
    <w:rsid w:val="002D72D4"/>
    <w:rsid w:val="002F4087"/>
    <w:rsid w:val="002F50DF"/>
    <w:rsid w:val="002F7AAF"/>
    <w:rsid w:val="00301F9C"/>
    <w:rsid w:val="00304FE0"/>
    <w:rsid w:val="003065F5"/>
    <w:rsid w:val="0030733B"/>
    <w:rsid w:val="00307A64"/>
    <w:rsid w:val="00314CBC"/>
    <w:rsid w:val="00321277"/>
    <w:rsid w:val="00326C26"/>
    <w:rsid w:val="00333006"/>
    <w:rsid w:val="00335AF6"/>
    <w:rsid w:val="0035714B"/>
    <w:rsid w:val="0036118B"/>
    <w:rsid w:val="003762F5"/>
    <w:rsid w:val="00385152"/>
    <w:rsid w:val="00387296"/>
    <w:rsid w:val="003918AC"/>
    <w:rsid w:val="00393719"/>
    <w:rsid w:val="00395C4F"/>
    <w:rsid w:val="00397FF6"/>
    <w:rsid w:val="003A1523"/>
    <w:rsid w:val="003A24A6"/>
    <w:rsid w:val="003B41D6"/>
    <w:rsid w:val="003B598E"/>
    <w:rsid w:val="003B6D99"/>
    <w:rsid w:val="003B7237"/>
    <w:rsid w:val="003C700D"/>
    <w:rsid w:val="003D083E"/>
    <w:rsid w:val="003D0A0E"/>
    <w:rsid w:val="003D1419"/>
    <w:rsid w:val="003D1A9E"/>
    <w:rsid w:val="003D3AE2"/>
    <w:rsid w:val="003D5B33"/>
    <w:rsid w:val="003D7A35"/>
    <w:rsid w:val="003E0FA4"/>
    <w:rsid w:val="003E4843"/>
    <w:rsid w:val="003F03F9"/>
    <w:rsid w:val="003F6E32"/>
    <w:rsid w:val="00410611"/>
    <w:rsid w:val="00413E75"/>
    <w:rsid w:val="00421EE9"/>
    <w:rsid w:val="004240F0"/>
    <w:rsid w:val="0042743E"/>
    <w:rsid w:val="004275D1"/>
    <w:rsid w:val="00434B54"/>
    <w:rsid w:val="00437927"/>
    <w:rsid w:val="00454A80"/>
    <w:rsid w:val="00460A22"/>
    <w:rsid w:val="004652C7"/>
    <w:rsid w:val="00466CF1"/>
    <w:rsid w:val="00467A32"/>
    <w:rsid w:val="00480A77"/>
    <w:rsid w:val="00482521"/>
    <w:rsid w:val="0048253E"/>
    <w:rsid w:val="0048297F"/>
    <w:rsid w:val="00484955"/>
    <w:rsid w:val="00491F73"/>
    <w:rsid w:val="00495DE6"/>
    <w:rsid w:val="004A2164"/>
    <w:rsid w:val="004A21CC"/>
    <w:rsid w:val="004A2BD7"/>
    <w:rsid w:val="004A5E9C"/>
    <w:rsid w:val="004A71CC"/>
    <w:rsid w:val="004A7F94"/>
    <w:rsid w:val="004B27DE"/>
    <w:rsid w:val="004B6518"/>
    <w:rsid w:val="004C0A45"/>
    <w:rsid w:val="004C0F29"/>
    <w:rsid w:val="004C2447"/>
    <w:rsid w:val="004C4E52"/>
    <w:rsid w:val="004D1820"/>
    <w:rsid w:val="004E2B73"/>
    <w:rsid w:val="004E5DEF"/>
    <w:rsid w:val="004E69DB"/>
    <w:rsid w:val="004E6B96"/>
    <w:rsid w:val="00514270"/>
    <w:rsid w:val="005165FB"/>
    <w:rsid w:val="00521377"/>
    <w:rsid w:val="00526D8A"/>
    <w:rsid w:val="005323EF"/>
    <w:rsid w:val="00532541"/>
    <w:rsid w:val="00551526"/>
    <w:rsid w:val="005559E5"/>
    <w:rsid w:val="00561C7F"/>
    <w:rsid w:val="00564F49"/>
    <w:rsid w:val="005815BE"/>
    <w:rsid w:val="0058299B"/>
    <w:rsid w:val="005926A8"/>
    <w:rsid w:val="00592840"/>
    <w:rsid w:val="00593012"/>
    <w:rsid w:val="00596C5F"/>
    <w:rsid w:val="005B49A0"/>
    <w:rsid w:val="005C6E32"/>
    <w:rsid w:val="005C7FFD"/>
    <w:rsid w:val="005D614C"/>
    <w:rsid w:val="005E018E"/>
    <w:rsid w:val="005E0BC1"/>
    <w:rsid w:val="005E1265"/>
    <w:rsid w:val="005E4E4D"/>
    <w:rsid w:val="005E5EC3"/>
    <w:rsid w:val="005E62CF"/>
    <w:rsid w:val="005F56E7"/>
    <w:rsid w:val="006044E3"/>
    <w:rsid w:val="00610D04"/>
    <w:rsid w:val="00624F76"/>
    <w:rsid w:val="00627654"/>
    <w:rsid w:val="006301FF"/>
    <w:rsid w:val="00632652"/>
    <w:rsid w:val="00633F2E"/>
    <w:rsid w:val="006408AF"/>
    <w:rsid w:val="006423E8"/>
    <w:rsid w:val="006441B1"/>
    <w:rsid w:val="006564AD"/>
    <w:rsid w:val="00657E6E"/>
    <w:rsid w:val="00661355"/>
    <w:rsid w:val="00663873"/>
    <w:rsid w:val="0066494B"/>
    <w:rsid w:val="00665277"/>
    <w:rsid w:val="006667BA"/>
    <w:rsid w:val="00670404"/>
    <w:rsid w:val="00673B1C"/>
    <w:rsid w:val="00675187"/>
    <w:rsid w:val="00684A0D"/>
    <w:rsid w:val="006942F8"/>
    <w:rsid w:val="006A225D"/>
    <w:rsid w:val="006A33B3"/>
    <w:rsid w:val="006B40CA"/>
    <w:rsid w:val="006C675B"/>
    <w:rsid w:val="006D252C"/>
    <w:rsid w:val="006D442B"/>
    <w:rsid w:val="006D598F"/>
    <w:rsid w:val="006D7FDF"/>
    <w:rsid w:val="006E2EFE"/>
    <w:rsid w:val="006E584B"/>
    <w:rsid w:val="006E59CB"/>
    <w:rsid w:val="006E6584"/>
    <w:rsid w:val="006F6A5B"/>
    <w:rsid w:val="007006C9"/>
    <w:rsid w:val="00700D9E"/>
    <w:rsid w:val="007023B3"/>
    <w:rsid w:val="00702B79"/>
    <w:rsid w:val="00704B74"/>
    <w:rsid w:val="00705BFA"/>
    <w:rsid w:val="0071280D"/>
    <w:rsid w:val="00715146"/>
    <w:rsid w:val="00716114"/>
    <w:rsid w:val="00721B24"/>
    <w:rsid w:val="007254B5"/>
    <w:rsid w:val="007254C8"/>
    <w:rsid w:val="00732184"/>
    <w:rsid w:val="00732CFE"/>
    <w:rsid w:val="00735B87"/>
    <w:rsid w:val="00737D72"/>
    <w:rsid w:val="007444C6"/>
    <w:rsid w:val="00745488"/>
    <w:rsid w:val="007456CD"/>
    <w:rsid w:val="00750C2A"/>
    <w:rsid w:val="00753909"/>
    <w:rsid w:val="00767F07"/>
    <w:rsid w:val="007740B5"/>
    <w:rsid w:val="00797934"/>
    <w:rsid w:val="007A33AD"/>
    <w:rsid w:val="007A44C1"/>
    <w:rsid w:val="007A61F0"/>
    <w:rsid w:val="007A676D"/>
    <w:rsid w:val="007A7C0F"/>
    <w:rsid w:val="007B1596"/>
    <w:rsid w:val="007C0BB7"/>
    <w:rsid w:val="007C12ED"/>
    <w:rsid w:val="007D002D"/>
    <w:rsid w:val="007D34C6"/>
    <w:rsid w:val="007E0B97"/>
    <w:rsid w:val="007E3FCF"/>
    <w:rsid w:val="007E466B"/>
    <w:rsid w:val="007F3699"/>
    <w:rsid w:val="007F5589"/>
    <w:rsid w:val="00812960"/>
    <w:rsid w:val="00823A45"/>
    <w:rsid w:val="00824C94"/>
    <w:rsid w:val="008273A7"/>
    <w:rsid w:val="00835EF2"/>
    <w:rsid w:val="00844149"/>
    <w:rsid w:val="00847BBF"/>
    <w:rsid w:val="0086011A"/>
    <w:rsid w:val="00871B68"/>
    <w:rsid w:val="0088045C"/>
    <w:rsid w:val="00886E2D"/>
    <w:rsid w:val="00891716"/>
    <w:rsid w:val="00892A8A"/>
    <w:rsid w:val="008B7EE9"/>
    <w:rsid w:val="008C2D94"/>
    <w:rsid w:val="008C31D0"/>
    <w:rsid w:val="008C6A13"/>
    <w:rsid w:val="008D0952"/>
    <w:rsid w:val="008E05A1"/>
    <w:rsid w:val="008E1B69"/>
    <w:rsid w:val="008E688C"/>
    <w:rsid w:val="008F48E6"/>
    <w:rsid w:val="008F560A"/>
    <w:rsid w:val="008F599A"/>
    <w:rsid w:val="008F6AB5"/>
    <w:rsid w:val="008F776B"/>
    <w:rsid w:val="00900EA3"/>
    <w:rsid w:val="00903AD3"/>
    <w:rsid w:val="00905C57"/>
    <w:rsid w:val="00911C0B"/>
    <w:rsid w:val="00915330"/>
    <w:rsid w:val="00915D49"/>
    <w:rsid w:val="009167B7"/>
    <w:rsid w:val="00926CC6"/>
    <w:rsid w:val="0092718B"/>
    <w:rsid w:val="00932504"/>
    <w:rsid w:val="00932813"/>
    <w:rsid w:val="0093459E"/>
    <w:rsid w:val="00936C01"/>
    <w:rsid w:val="00941536"/>
    <w:rsid w:val="00953B91"/>
    <w:rsid w:val="00972226"/>
    <w:rsid w:val="00972C28"/>
    <w:rsid w:val="009838EA"/>
    <w:rsid w:val="00983923"/>
    <w:rsid w:val="00983EDA"/>
    <w:rsid w:val="009840D5"/>
    <w:rsid w:val="00984948"/>
    <w:rsid w:val="00984ACC"/>
    <w:rsid w:val="009859BB"/>
    <w:rsid w:val="00986749"/>
    <w:rsid w:val="009870A8"/>
    <w:rsid w:val="00991170"/>
    <w:rsid w:val="00991440"/>
    <w:rsid w:val="009A385E"/>
    <w:rsid w:val="009A7912"/>
    <w:rsid w:val="009B669E"/>
    <w:rsid w:val="009B70FD"/>
    <w:rsid w:val="009C7C36"/>
    <w:rsid w:val="009C7E1E"/>
    <w:rsid w:val="009D33A0"/>
    <w:rsid w:val="009E2982"/>
    <w:rsid w:val="009E430E"/>
    <w:rsid w:val="009F1899"/>
    <w:rsid w:val="009F1D5D"/>
    <w:rsid w:val="009F6D40"/>
    <w:rsid w:val="009F7678"/>
    <w:rsid w:val="00A0442A"/>
    <w:rsid w:val="00A06EDE"/>
    <w:rsid w:val="00A17B18"/>
    <w:rsid w:val="00A20B1D"/>
    <w:rsid w:val="00A30F8E"/>
    <w:rsid w:val="00A5313C"/>
    <w:rsid w:val="00A6083C"/>
    <w:rsid w:val="00A65B81"/>
    <w:rsid w:val="00A7067F"/>
    <w:rsid w:val="00A70924"/>
    <w:rsid w:val="00A71D0D"/>
    <w:rsid w:val="00A83090"/>
    <w:rsid w:val="00A879BE"/>
    <w:rsid w:val="00A929C3"/>
    <w:rsid w:val="00AA1196"/>
    <w:rsid w:val="00AA6550"/>
    <w:rsid w:val="00AB23F6"/>
    <w:rsid w:val="00AB63BB"/>
    <w:rsid w:val="00AC04E3"/>
    <w:rsid w:val="00AC1A34"/>
    <w:rsid w:val="00AD3D1A"/>
    <w:rsid w:val="00AD6E47"/>
    <w:rsid w:val="00AF3259"/>
    <w:rsid w:val="00AF7E7C"/>
    <w:rsid w:val="00B119BA"/>
    <w:rsid w:val="00B15A1E"/>
    <w:rsid w:val="00B24371"/>
    <w:rsid w:val="00B32089"/>
    <w:rsid w:val="00B337C3"/>
    <w:rsid w:val="00B366B8"/>
    <w:rsid w:val="00B3691D"/>
    <w:rsid w:val="00B4048B"/>
    <w:rsid w:val="00B40DD9"/>
    <w:rsid w:val="00B442D0"/>
    <w:rsid w:val="00B47940"/>
    <w:rsid w:val="00B527BC"/>
    <w:rsid w:val="00B530AE"/>
    <w:rsid w:val="00B61A28"/>
    <w:rsid w:val="00B64035"/>
    <w:rsid w:val="00B66B79"/>
    <w:rsid w:val="00B66C22"/>
    <w:rsid w:val="00B706D6"/>
    <w:rsid w:val="00B729E4"/>
    <w:rsid w:val="00B84509"/>
    <w:rsid w:val="00BA4A35"/>
    <w:rsid w:val="00BA6CDB"/>
    <w:rsid w:val="00BB3F0B"/>
    <w:rsid w:val="00BD10B8"/>
    <w:rsid w:val="00BD7DEB"/>
    <w:rsid w:val="00BE10A1"/>
    <w:rsid w:val="00BF2532"/>
    <w:rsid w:val="00C24746"/>
    <w:rsid w:val="00C26F38"/>
    <w:rsid w:val="00C306E2"/>
    <w:rsid w:val="00C3286B"/>
    <w:rsid w:val="00C32EC1"/>
    <w:rsid w:val="00C36A79"/>
    <w:rsid w:val="00C37CDB"/>
    <w:rsid w:val="00C4165A"/>
    <w:rsid w:val="00C421C8"/>
    <w:rsid w:val="00C54B86"/>
    <w:rsid w:val="00C56349"/>
    <w:rsid w:val="00C6061E"/>
    <w:rsid w:val="00C60CAB"/>
    <w:rsid w:val="00C74D25"/>
    <w:rsid w:val="00C80FF1"/>
    <w:rsid w:val="00C86C70"/>
    <w:rsid w:val="00CA18E9"/>
    <w:rsid w:val="00CA4447"/>
    <w:rsid w:val="00CB0AFC"/>
    <w:rsid w:val="00CB10CD"/>
    <w:rsid w:val="00CC71C1"/>
    <w:rsid w:val="00CC7283"/>
    <w:rsid w:val="00CD27B4"/>
    <w:rsid w:val="00CD78BF"/>
    <w:rsid w:val="00CE3F1E"/>
    <w:rsid w:val="00CE50A8"/>
    <w:rsid w:val="00CE5E88"/>
    <w:rsid w:val="00CF09E6"/>
    <w:rsid w:val="00CF68FA"/>
    <w:rsid w:val="00CF6E66"/>
    <w:rsid w:val="00D049EA"/>
    <w:rsid w:val="00D055D9"/>
    <w:rsid w:val="00D07EAC"/>
    <w:rsid w:val="00D103DC"/>
    <w:rsid w:val="00D24C56"/>
    <w:rsid w:val="00D31769"/>
    <w:rsid w:val="00D3260F"/>
    <w:rsid w:val="00D53FF9"/>
    <w:rsid w:val="00D71FF6"/>
    <w:rsid w:val="00D726B7"/>
    <w:rsid w:val="00D73015"/>
    <w:rsid w:val="00D75DBD"/>
    <w:rsid w:val="00D94A8B"/>
    <w:rsid w:val="00DA6F4C"/>
    <w:rsid w:val="00DA781C"/>
    <w:rsid w:val="00DC750E"/>
    <w:rsid w:val="00DE1FF8"/>
    <w:rsid w:val="00DE2F7A"/>
    <w:rsid w:val="00DE7A8F"/>
    <w:rsid w:val="00DF2887"/>
    <w:rsid w:val="00DF4B39"/>
    <w:rsid w:val="00E02F41"/>
    <w:rsid w:val="00E05DF4"/>
    <w:rsid w:val="00E06A55"/>
    <w:rsid w:val="00E071FC"/>
    <w:rsid w:val="00E073E0"/>
    <w:rsid w:val="00E10617"/>
    <w:rsid w:val="00E12BBE"/>
    <w:rsid w:val="00E17451"/>
    <w:rsid w:val="00E22586"/>
    <w:rsid w:val="00E22FC2"/>
    <w:rsid w:val="00E25C6B"/>
    <w:rsid w:val="00E336E5"/>
    <w:rsid w:val="00E43CAE"/>
    <w:rsid w:val="00E469C6"/>
    <w:rsid w:val="00E47F68"/>
    <w:rsid w:val="00E73A2B"/>
    <w:rsid w:val="00E756DD"/>
    <w:rsid w:val="00E81DF7"/>
    <w:rsid w:val="00E82EA2"/>
    <w:rsid w:val="00E908F4"/>
    <w:rsid w:val="00E94EDE"/>
    <w:rsid w:val="00E952BE"/>
    <w:rsid w:val="00EA0CCC"/>
    <w:rsid w:val="00EA2730"/>
    <w:rsid w:val="00EA432B"/>
    <w:rsid w:val="00EA7084"/>
    <w:rsid w:val="00EB015F"/>
    <w:rsid w:val="00EC3A4F"/>
    <w:rsid w:val="00EC53E6"/>
    <w:rsid w:val="00EC5430"/>
    <w:rsid w:val="00EC60BF"/>
    <w:rsid w:val="00ED471D"/>
    <w:rsid w:val="00ED50EC"/>
    <w:rsid w:val="00EE2DA8"/>
    <w:rsid w:val="00EE64C0"/>
    <w:rsid w:val="00EF02CF"/>
    <w:rsid w:val="00EF4703"/>
    <w:rsid w:val="00F0509E"/>
    <w:rsid w:val="00F108D4"/>
    <w:rsid w:val="00F16A7D"/>
    <w:rsid w:val="00F1760D"/>
    <w:rsid w:val="00F22ABC"/>
    <w:rsid w:val="00F34A64"/>
    <w:rsid w:val="00F3597E"/>
    <w:rsid w:val="00F44DD3"/>
    <w:rsid w:val="00F477E1"/>
    <w:rsid w:val="00F50B07"/>
    <w:rsid w:val="00F51205"/>
    <w:rsid w:val="00F537DF"/>
    <w:rsid w:val="00F54E83"/>
    <w:rsid w:val="00F556B4"/>
    <w:rsid w:val="00F6329A"/>
    <w:rsid w:val="00F727D5"/>
    <w:rsid w:val="00F7288D"/>
    <w:rsid w:val="00F73B3E"/>
    <w:rsid w:val="00F74EEA"/>
    <w:rsid w:val="00F77884"/>
    <w:rsid w:val="00F77CF0"/>
    <w:rsid w:val="00F8057D"/>
    <w:rsid w:val="00F82D6E"/>
    <w:rsid w:val="00F85BA1"/>
    <w:rsid w:val="00F8676C"/>
    <w:rsid w:val="00F90F86"/>
    <w:rsid w:val="00F961C6"/>
    <w:rsid w:val="00F971EA"/>
    <w:rsid w:val="00F9782D"/>
    <w:rsid w:val="00FA00C5"/>
    <w:rsid w:val="00FA1BC2"/>
    <w:rsid w:val="00FA242F"/>
    <w:rsid w:val="00FA4006"/>
    <w:rsid w:val="00FA735D"/>
    <w:rsid w:val="00FA76C2"/>
    <w:rsid w:val="00FB0CDE"/>
    <w:rsid w:val="00FB5BAE"/>
    <w:rsid w:val="00FD195D"/>
    <w:rsid w:val="00FD49B4"/>
    <w:rsid w:val="00FD5848"/>
    <w:rsid w:val="00FE3328"/>
    <w:rsid w:val="00FE5D0D"/>
    <w:rsid w:val="00FF34CD"/>
    <w:rsid w:val="00FF5ACA"/>
    <w:rsid w:val="00FF6D26"/>
    <w:rsid w:val="00FF78FD"/>
    <w:rsid w:val="3BBB0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1"/>
    <w:basedOn w:val="1"/>
    <w:qFormat/>
    <w:uiPriority w:val="0"/>
    <w:rPr>
      <w:rFonts w:ascii="仿宋_GB2312"/>
      <w:b/>
      <w:szCs w:val="32"/>
    </w:rPr>
  </w:style>
  <w:style w:type="character" w:customStyle="1" w:styleId="7">
    <w:name w:val="页眉 Char"/>
    <w:basedOn w:val="5"/>
    <w:link w:val="3"/>
    <w:uiPriority w:val="99"/>
    <w:rPr>
      <w:rFonts w:ascii="Times New Roman" w:hAnsi="Times New Roman" w:eastAsia="仿宋_GB2312" w:cs="Times New Roman"/>
      <w:sz w:val="18"/>
      <w:szCs w:val="18"/>
    </w:rPr>
  </w:style>
  <w:style w:type="character" w:customStyle="1" w:styleId="8">
    <w:name w:val="页脚 Char"/>
    <w:basedOn w:val="5"/>
    <w:link w:val="2"/>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5708</Words>
  <Characters>5778</Characters>
  <Lines>41</Lines>
  <Paragraphs>11</Paragraphs>
  <TotalTime>1</TotalTime>
  <ScaleCrop>false</ScaleCrop>
  <LinksUpToDate>false</LinksUpToDate>
  <CharactersWithSpaces>5789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2020-08-04T09:10:00Z</dcterms:created>
  <dc:creator>李根明</dc:creator>
  <cp:lastModifiedBy>zhc1161</cp:lastModifiedBy>
  <dcterms:modified xsi:type="dcterms:W3CDTF">2023-04-14T03:15:31Z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1DCD96C33E8B4A8F92346FB26E159017_12</vt:lpwstr>
  </property>
</Properties>
</file>